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E55BD" w14:textId="1606E0CB" w:rsidR="00D17832" w:rsidRPr="006731F8" w:rsidRDefault="0099241E" w:rsidP="00D17832">
      <w:pPr>
        <w:pStyle w:val="Title"/>
      </w:pPr>
      <w:r>
        <w:t xml:space="preserve">Carbon Reduction </w:t>
      </w:r>
      <w:r w:rsidR="001235C1">
        <w:t>Policy</w:t>
      </w:r>
    </w:p>
    <w:p w14:paraId="22FD5612" w14:textId="39287985" w:rsidR="00AA4EFD" w:rsidRPr="00AA4EFD" w:rsidRDefault="00B077A2" w:rsidP="00AA4EFD">
      <w:pPr>
        <w:pStyle w:val="Heading1"/>
        <w:rPr>
          <w:b/>
          <w:bCs/>
          <w:sz w:val="26"/>
          <w:szCs w:val="26"/>
        </w:rPr>
      </w:pPr>
      <w:r w:rsidRPr="00AA4EFD">
        <w:rPr>
          <w:b/>
          <w:bCs/>
          <w:sz w:val="26"/>
          <w:szCs w:val="26"/>
        </w:rPr>
        <w:t>Key Information</w:t>
      </w:r>
    </w:p>
    <w:tbl>
      <w:tblPr>
        <w:tblStyle w:val="TableGrid"/>
        <w:tblW w:w="5000" w:type="pct"/>
        <w:tblLook w:val="04A0" w:firstRow="1" w:lastRow="0" w:firstColumn="1" w:lastColumn="0" w:noHBand="0" w:noVBand="1"/>
      </w:tblPr>
      <w:tblGrid>
        <w:gridCol w:w="4508"/>
        <w:gridCol w:w="4508"/>
      </w:tblGrid>
      <w:tr w:rsidR="00B077A2" w14:paraId="79229921" w14:textId="77777777" w:rsidTr="00A45984">
        <w:tc>
          <w:tcPr>
            <w:tcW w:w="2500" w:type="pct"/>
          </w:tcPr>
          <w:p w14:paraId="422546C6" w14:textId="742C3897" w:rsidR="00B077A2" w:rsidRDefault="00B077A2" w:rsidP="00AA4EFD">
            <w:pPr>
              <w:pStyle w:val="ListParagraph"/>
              <w:spacing w:line="360" w:lineRule="auto"/>
              <w:ind w:left="0"/>
            </w:pPr>
            <w:bookmarkStart w:id="1" w:name="_Hlk130892954"/>
            <w:r w:rsidRPr="00713FE8">
              <w:t>Title</w:t>
            </w:r>
          </w:p>
        </w:tc>
        <w:tc>
          <w:tcPr>
            <w:tcW w:w="2500" w:type="pct"/>
          </w:tcPr>
          <w:p w14:paraId="2B190005" w14:textId="131E76F2" w:rsidR="00B077A2" w:rsidRDefault="0099241E" w:rsidP="00AA4EFD">
            <w:pPr>
              <w:pStyle w:val="ListParagraph"/>
              <w:spacing w:line="360" w:lineRule="auto"/>
              <w:ind w:left="0"/>
            </w:pPr>
            <w:r>
              <w:t>Carbon Reduction Plan</w:t>
            </w:r>
          </w:p>
        </w:tc>
      </w:tr>
      <w:tr w:rsidR="00B077A2" w14:paraId="2A4A2A56" w14:textId="77777777" w:rsidTr="00A45984">
        <w:tc>
          <w:tcPr>
            <w:tcW w:w="2500" w:type="pct"/>
          </w:tcPr>
          <w:p w14:paraId="3F59749C" w14:textId="7562C926" w:rsidR="00B077A2" w:rsidRDefault="00B077A2" w:rsidP="00AA4EFD">
            <w:pPr>
              <w:pStyle w:val="ListParagraph"/>
              <w:spacing w:line="360" w:lineRule="auto"/>
              <w:ind w:left="0"/>
            </w:pPr>
            <w:r w:rsidRPr="00713FE8">
              <w:t xml:space="preserve">Prepared </w:t>
            </w:r>
            <w:r>
              <w:t>b</w:t>
            </w:r>
            <w:r w:rsidRPr="00713FE8">
              <w:t>y</w:t>
            </w:r>
          </w:p>
        </w:tc>
        <w:tc>
          <w:tcPr>
            <w:tcW w:w="2500" w:type="pct"/>
          </w:tcPr>
          <w:p w14:paraId="65DB549E" w14:textId="732E3B85" w:rsidR="00B077A2" w:rsidRDefault="0099241E" w:rsidP="00AA4EFD">
            <w:pPr>
              <w:pStyle w:val="ListParagraph"/>
              <w:spacing w:line="360" w:lineRule="auto"/>
              <w:ind w:left="0"/>
            </w:pPr>
            <w:r>
              <w:t>Sandra Mabbott</w:t>
            </w:r>
          </w:p>
        </w:tc>
      </w:tr>
      <w:tr w:rsidR="00B077A2" w14:paraId="7A641FF0" w14:textId="77777777" w:rsidTr="00A45984">
        <w:tc>
          <w:tcPr>
            <w:tcW w:w="2500" w:type="pct"/>
          </w:tcPr>
          <w:p w14:paraId="7A46DF29" w14:textId="61EB2030" w:rsidR="00B077A2" w:rsidRDefault="00B077A2" w:rsidP="00AA4EFD">
            <w:pPr>
              <w:pStyle w:val="ListParagraph"/>
              <w:spacing w:line="360" w:lineRule="auto"/>
              <w:ind w:left="0"/>
            </w:pPr>
            <w:r>
              <w:t xml:space="preserve">Approved </w:t>
            </w:r>
            <w:r w:rsidR="00D17832">
              <w:t>b</w:t>
            </w:r>
            <w:r>
              <w:t>y</w:t>
            </w:r>
          </w:p>
        </w:tc>
        <w:tc>
          <w:tcPr>
            <w:tcW w:w="2500" w:type="pct"/>
          </w:tcPr>
          <w:p w14:paraId="0BEC1166" w14:textId="5173B55D" w:rsidR="00B077A2" w:rsidRDefault="0099241E" w:rsidP="00AA4EFD">
            <w:pPr>
              <w:pStyle w:val="ListParagraph"/>
              <w:spacing w:line="360" w:lineRule="auto"/>
              <w:ind w:left="0"/>
            </w:pPr>
            <w:r>
              <w:t>For</w:t>
            </w:r>
            <w:r w:rsidR="001235C1">
              <w:t xml:space="preserve"> QA Committee</w:t>
            </w:r>
          </w:p>
        </w:tc>
      </w:tr>
      <w:tr w:rsidR="00B077A2" w14:paraId="6F89F11E" w14:textId="77777777" w:rsidTr="00A45984">
        <w:tc>
          <w:tcPr>
            <w:tcW w:w="2500" w:type="pct"/>
          </w:tcPr>
          <w:p w14:paraId="6E2A28A1" w14:textId="227D5235" w:rsidR="00B077A2" w:rsidRDefault="00D17832" w:rsidP="00AA4EFD">
            <w:pPr>
              <w:pStyle w:val="ListParagraph"/>
              <w:spacing w:line="360" w:lineRule="auto"/>
              <w:ind w:left="0"/>
            </w:pPr>
            <w:r>
              <w:t>Date effective from</w:t>
            </w:r>
          </w:p>
        </w:tc>
        <w:tc>
          <w:tcPr>
            <w:tcW w:w="2500" w:type="pct"/>
          </w:tcPr>
          <w:p w14:paraId="62659ECC" w14:textId="30326C22" w:rsidR="00B077A2" w:rsidRDefault="0099241E" w:rsidP="00AA4EFD">
            <w:pPr>
              <w:pStyle w:val="ListParagraph"/>
              <w:spacing w:line="360" w:lineRule="auto"/>
              <w:ind w:left="0"/>
            </w:pPr>
            <w:r>
              <w:t>November</w:t>
            </w:r>
            <w:r w:rsidR="00275FDA">
              <w:t xml:space="preserve"> 2024</w:t>
            </w:r>
          </w:p>
        </w:tc>
      </w:tr>
      <w:tr w:rsidR="00B077A2" w14:paraId="7B35416F" w14:textId="77777777" w:rsidTr="00A45984">
        <w:tc>
          <w:tcPr>
            <w:tcW w:w="2500" w:type="pct"/>
          </w:tcPr>
          <w:p w14:paraId="19F3F327" w14:textId="63348B67" w:rsidR="00B077A2" w:rsidRDefault="00D17832" w:rsidP="00AA4EFD">
            <w:pPr>
              <w:pStyle w:val="ListParagraph"/>
              <w:spacing w:line="360" w:lineRule="auto"/>
              <w:ind w:left="0"/>
            </w:pPr>
            <w:r>
              <w:t>Version number</w:t>
            </w:r>
          </w:p>
        </w:tc>
        <w:tc>
          <w:tcPr>
            <w:tcW w:w="2500" w:type="pct"/>
          </w:tcPr>
          <w:p w14:paraId="3EC3DE55" w14:textId="47EB474F" w:rsidR="00B077A2" w:rsidRDefault="001235C1" w:rsidP="00AA4EFD">
            <w:pPr>
              <w:pStyle w:val="ListParagraph"/>
              <w:spacing w:line="360" w:lineRule="auto"/>
              <w:ind w:left="0"/>
            </w:pPr>
            <w:r>
              <w:t>1</w:t>
            </w:r>
          </w:p>
        </w:tc>
      </w:tr>
      <w:tr w:rsidR="00B077A2" w14:paraId="5119C7D7" w14:textId="77777777" w:rsidTr="00A45984">
        <w:tc>
          <w:tcPr>
            <w:tcW w:w="2500" w:type="pct"/>
          </w:tcPr>
          <w:p w14:paraId="451C485E" w14:textId="03B199A3" w:rsidR="00B077A2" w:rsidRDefault="00D17832" w:rsidP="00AA4EFD">
            <w:pPr>
              <w:pStyle w:val="ListParagraph"/>
              <w:spacing w:line="360" w:lineRule="auto"/>
              <w:ind w:left="0"/>
            </w:pPr>
            <w:r>
              <w:t>Review frequency</w:t>
            </w:r>
          </w:p>
        </w:tc>
        <w:tc>
          <w:tcPr>
            <w:tcW w:w="2500" w:type="pct"/>
          </w:tcPr>
          <w:p w14:paraId="69112087" w14:textId="505BDF94" w:rsidR="00B077A2" w:rsidRDefault="001235C1" w:rsidP="00AA4EFD">
            <w:pPr>
              <w:pStyle w:val="ListParagraph"/>
              <w:spacing w:line="360" w:lineRule="auto"/>
              <w:ind w:left="0"/>
            </w:pPr>
            <w:r>
              <w:t>2 yearly</w:t>
            </w:r>
          </w:p>
        </w:tc>
      </w:tr>
      <w:tr w:rsidR="00B077A2" w14:paraId="71AF9750" w14:textId="77777777" w:rsidTr="00A45984">
        <w:trPr>
          <w:trHeight w:val="98"/>
        </w:trPr>
        <w:tc>
          <w:tcPr>
            <w:tcW w:w="2500" w:type="pct"/>
          </w:tcPr>
          <w:p w14:paraId="6514530D" w14:textId="6D6121D1" w:rsidR="00B077A2" w:rsidRDefault="00D17832" w:rsidP="00AA4EFD">
            <w:pPr>
              <w:pStyle w:val="ListParagraph"/>
              <w:spacing w:line="360" w:lineRule="auto"/>
              <w:ind w:left="0"/>
            </w:pPr>
            <w:r>
              <w:t>Next review date</w:t>
            </w:r>
          </w:p>
        </w:tc>
        <w:tc>
          <w:tcPr>
            <w:tcW w:w="2500" w:type="pct"/>
          </w:tcPr>
          <w:p w14:paraId="57C312A8" w14:textId="10B58B70" w:rsidR="00B077A2" w:rsidRDefault="0099241E" w:rsidP="00AA4EFD">
            <w:pPr>
              <w:pStyle w:val="ListParagraph"/>
              <w:spacing w:line="360" w:lineRule="auto"/>
              <w:ind w:left="0"/>
            </w:pPr>
            <w:r>
              <w:t>November</w:t>
            </w:r>
            <w:r w:rsidR="00275FDA">
              <w:t xml:space="preserve"> 2026</w:t>
            </w:r>
          </w:p>
        </w:tc>
      </w:tr>
      <w:bookmarkEnd w:id="1"/>
    </w:tbl>
    <w:p w14:paraId="4427F882" w14:textId="77777777" w:rsidR="00AA4EFD" w:rsidRDefault="00AA4EFD" w:rsidP="00D17832">
      <w:pPr>
        <w:pStyle w:val="Heading2"/>
        <w:rPr>
          <w:b/>
          <w:bCs/>
        </w:rPr>
      </w:pPr>
    </w:p>
    <w:p w14:paraId="4EE3427D" w14:textId="77777777" w:rsidR="00AA4EFD" w:rsidRDefault="00AA4EFD" w:rsidP="0029509E">
      <w:pPr>
        <w:pStyle w:val="Heading3"/>
        <w:rPr>
          <w:b/>
          <w:bCs/>
        </w:rPr>
      </w:pPr>
    </w:p>
    <w:p w14:paraId="1A622298" w14:textId="7F7A820F" w:rsidR="00AA4EFD" w:rsidRPr="006731F8" w:rsidRDefault="0029509E" w:rsidP="00AA4EFD">
      <w:pPr>
        <w:pStyle w:val="Heading3"/>
        <w:rPr>
          <w:b/>
          <w:bCs/>
          <w:sz w:val="26"/>
          <w:szCs w:val="26"/>
        </w:rPr>
      </w:pPr>
      <w:r w:rsidRPr="006731F8">
        <w:rPr>
          <w:b/>
          <w:bCs/>
          <w:sz w:val="26"/>
          <w:szCs w:val="26"/>
        </w:rPr>
        <w:t>Revision History</w:t>
      </w:r>
    </w:p>
    <w:tbl>
      <w:tblPr>
        <w:tblStyle w:val="TableGrid"/>
        <w:tblW w:w="5000" w:type="pct"/>
        <w:tblLook w:val="04A0" w:firstRow="1" w:lastRow="0" w:firstColumn="1" w:lastColumn="0" w:noHBand="0" w:noVBand="1"/>
      </w:tblPr>
      <w:tblGrid>
        <w:gridCol w:w="905"/>
        <w:gridCol w:w="1260"/>
        <w:gridCol w:w="3697"/>
        <w:gridCol w:w="3154"/>
      </w:tblGrid>
      <w:tr w:rsidR="00AA4EFD" w14:paraId="73543CDE" w14:textId="77777777" w:rsidTr="00A45984">
        <w:trPr>
          <w:trHeight w:val="275"/>
        </w:trPr>
        <w:tc>
          <w:tcPr>
            <w:tcW w:w="502" w:type="pct"/>
          </w:tcPr>
          <w:p w14:paraId="47B7BB1C" w14:textId="1189E03A" w:rsidR="0029509E" w:rsidRDefault="0029509E" w:rsidP="0058089E">
            <w:pPr>
              <w:pStyle w:val="ListParagraph"/>
              <w:ind w:left="0"/>
            </w:pPr>
            <w:r>
              <w:t>Version</w:t>
            </w:r>
          </w:p>
        </w:tc>
        <w:tc>
          <w:tcPr>
            <w:tcW w:w="699" w:type="pct"/>
          </w:tcPr>
          <w:p w14:paraId="35609036" w14:textId="176B6E94" w:rsidR="0029509E" w:rsidRDefault="0029509E" w:rsidP="0058089E">
            <w:pPr>
              <w:pStyle w:val="ListParagraph"/>
              <w:ind w:left="0"/>
            </w:pPr>
            <w:r>
              <w:t>Date</w:t>
            </w:r>
          </w:p>
        </w:tc>
        <w:tc>
          <w:tcPr>
            <w:tcW w:w="2050" w:type="pct"/>
          </w:tcPr>
          <w:p w14:paraId="6AB3757A" w14:textId="05754994" w:rsidR="0029509E" w:rsidRDefault="0029509E" w:rsidP="0058089E">
            <w:pPr>
              <w:pStyle w:val="ListParagraph"/>
              <w:ind w:left="0"/>
            </w:pPr>
            <w:r>
              <w:t>Summary of changes</w:t>
            </w:r>
          </w:p>
        </w:tc>
        <w:tc>
          <w:tcPr>
            <w:tcW w:w="1749" w:type="pct"/>
          </w:tcPr>
          <w:p w14:paraId="6E920845" w14:textId="20A2B35D" w:rsidR="0029509E" w:rsidRDefault="0029509E" w:rsidP="0058089E">
            <w:pPr>
              <w:pStyle w:val="ListParagraph"/>
              <w:ind w:left="0"/>
            </w:pPr>
            <w:r>
              <w:t>Approved</w:t>
            </w:r>
            <w:r w:rsidR="00AA4EFD">
              <w:t xml:space="preserve"> (QA meeting date)</w:t>
            </w:r>
          </w:p>
        </w:tc>
      </w:tr>
      <w:tr w:rsidR="00AA4EFD" w14:paraId="4EDEA339" w14:textId="77777777" w:rsidTr="00A45984">
        <w:trPr>
          <w:trHeight w:val="398"/>
        </w:trPr>
        <w:tc>
          <w:tcPr>
            <w:tcW w:w="502" w:type="pct"/>
          </w:tcPr>
          <w:p w14:paraId="01B00FF5" w14:textId="0749EE7B" w:rsidR="0029509E" w:rsidRDefault="00AA4EFD" w:rsidP="00AA4EFD">
            <w:pPr>
              <w:pStyle w:val="ListParagraph"/>
              <w:spacing w:line="360" w:lineRule="auto"/>
              <w:ind w:left="0"/>
            </w:pPr>
            <w:r>
              <w:t>1</w:t>
            </w:r>
          </w:p>
        </w:tc>
        <w:tc>
          <w:tcPr>
            <w:tcW w:w="699" w:type="pct"/>
          </w:tcPr>
          <w:p w14:paraId="2FACA22B" w14:textId="4C6155C7" w:rsidR="0029509E" w:rsidRDefault="0029509E" w:rsidP="00AA4EFD">
            <w:pPr>
              <w:pStyle w:val="ListParagraph"/>
              <w:spacing w:line="360" w:lineRule="auto"/>
              <w:ind w:left="0"/>
            </w:pPr>
          </w:p>
        </w:tc>
        <w:tc>
          <w:tcPr>
            <w:tcW w:w="2050" w:type="pct"/>
          </w:tcPr>
          <w:p w14:paraId="24BBC1CD" w14:textId="6B948036" w:rsidR="0029509E" w:rsidRDefault="00AA4EFD" w:rsidP="00AA4EFD">
            <w:pPr>
              <w:pStyle w:val="ListParagraph"/>
              <w:spacing w:line="360" w:lineRule="auto"/>
              <w:ind w:left="0"/>
            </w:pPr>
            <w:r>
              <w:t>New Document</w:t>
            </w:r>
          </w:p>
        </w:tc>
        <w:tc>
          <w:tcPr>
            <w:tcW w:w="1749" w:type="pct"/>
          </w:tcPr>
          <w:p w14:paraId="5A60CE7E" w14:textId="3E4869BF" w:rsidR="0029509E" w:rsidRDefault="0099241E" w:rsidP="00AA4EFD">
            <w:pPr>
              <w:pStyle w:val="ListParagraph"/>
              <w:spacing w:line="360" w:lineRule="auto"/>
              <w:ind w:left="0"/>
            </w:pPr>
            <w:r>
              <w:t>October</w:t>
            </w:r>
            <w:r w:rsidR="00215131">
              <w:t xml:space="preserve"> 2024</w:t>
            </w:r>
          </w:p>
        </w:tc>
      </w:tr>
      <w:tr w:rsidR="00AA4EFD" w14:paraId="682E57C0" w14:textId="77777777" w:rsidTr="00A45984">
        <w:trPr>
          <w:trHeight w:val="398"/>
        </w:trPr>
        <w:tc>
          <w:tcPr>
            <w:tcW w:w="502" w:type="pct"/>
          </w:tcPr>
          <w:p w14:paraId="4E289E51" w14:textId="3F71FE53" w:rsidR="0029509E" w:rsidRDefault="0029509E" w:rsidP="00AA4EFD">
            <w:pPr>
              <w:pStyle w:val="ListParagraph"/>
              <w:spacing w:line="360" w:lineRule="auto"/>
              <w:ind w:left="0"/>
            </w:pPr>
          </w:p>
        </w:tc>
        <w:tc>
          <w:tcPr>
            <w:tcW w:w="699" w:type="pct"/>
          </w:tcPr>
          <w:p w14:paraId="0F1749A7" w14:textId="77777777" w:rsidR="0029509E" w:rsidRDefault="0029509E" w:rsidP="00AA4EFD">
            <w:pPr>
              <w:pStyle w:val="ListParagraph"/>
              <w:spacing w:line="360" w:lineRule="auto"/>
              <w:ind w:left="0"/>
            </w:pPr>
          </w:p>
        </w:tc>
        <w:tc>
          <w:tcPr>
            <w:tcW w:w="2050" w:type="pct"/>
          </w:tcPr>
          <w:p w14:paraId="60FA0CDB" w14:textId="77777777" w:rsidR="0029509E" w:rsidRDefault="0029509E" w:rsidP="00AA4EFD">
            <w:pPr>
              <w:pStyle w:val="ListParagraph"/>
              <w:spacing w:line="360" w:lineRule="auto"/>
              <w:ind w:left="0"/>
            </w:pPr>
          </w:p>
        </w:tc>
        <w:tc>
          <w:tcPr>
            <w:tcW w:w="1749" w:type="pct"/>
          </w:tcPr>
          <w:p w14:paraId="074E76C0" w14:textId="5206911E" w:rsidR="0029509E" w:rsidRDefault="0029509E" w:rsidP="00AA4EFD">
            <w:pPr>
              <w:pStyle w:val="ListParagraph"/>
              <w:spacing w:line="360" w:lineRule="auto"/>
              <w:ind w:left="0"/>
            </w:pPr>
          </w:p>
        </w:tc>
      </w:tr>
      <w:tr w:rsidR="00AA4EFD" w14:paraId="471E7127" w14:textId="77777777" w:rsidTr="00A45984">
        <w:trPr>
          <w:trHeight w:val="413"/>
        </w:trPr>
        <w:tc>
          <w:tcPr>
            <w:tcW w:w="502" w:type="pct"/>
          </w:tcPr>
          <w:p w14:paraId="54E93CD6" w14:textId="13369623" w:rsidR="0029509E" w:rsidRDefault="0029509E" w:rsidP="00AA4EFD">
            <w:pPr>
              <w:pStyle w:val="ListParagraph"/>
              <w:spacing w:line="360" w:lineRule="auto"/>
              <w:ind w:left="0"/>
            </w:pPr>
          </w:p>
        </w:tc>
        <w:tc>
          <w:tcPr>
            <w:tcW w:w="699" w:type="pct"/>
          </w:tcPr>
          <w:p w14:paraId="15114347" w14:textId="77777777" w:rsidR="0029509E" w:rsidRDefault="0029509E" w:rsidP="00AA4EFD">
            <w:pPr>
              <w:pStyle w:val="ListParagraph"/>
              <w:spacing w:line="360" w:lineRule="auto"/>
              <w:ind w:left="0"/>
            </w:pPr>
          </w:p>
        </w:tc>
        <w:tc>
          <w:tcPr>
            <w:tcW w:w="2050" w:type="pct"/>
          </w:tcPr>
          <w:p w14:paraId="7583E2E1" w14:textId="77777777" w:rsidR="0029509E" w:rsidRDefault="0029509E" w:rsidP="00AA4EFD">
            <w:pPr>
              <w:pStyle w:val="ListParagraph"/>
              <w:spacing w:line="360" w:lineRule="auto"/>
              <w:ind w:left="0"/>
            </w:pPr>
          </w:p>
        </w:tc>
        <w:tc>
          <w:tcPr>
            <w:tcW w:w="1749" w:type="pct"/>
          </w:tcPr>
          <w:p w14:paraId="12CFC0A7" w14:textId="73CC090B" w:rsidR="0029509E" w:rsidRDefault="0029509E" w:rsidP="00AA4EFD">
            <w:pPr>
              <w:pStyle w:val="ListParagraph"/>
              <w:spacing w:line="360" w:lineRule="auto"/>
              <w:ind w:left="0"/>
            </w:pPr>
          </w:p>
        </w:tc>
      </w:tr>
      <w:tr w:rsidR="00AA4EFD" w14:paraId="65EBEE10" w14:textId="77777777" w:rsidTr="00A45984">
        <w:trPr>
          <w:trHeight w:val="398"/>
        </w:trPr>
        <w:tc>
          <w:tcPr>
            <w:tcW w:w="502" w:type="pct"/>
          </w:tcPr>
          <w:p w14:paraId="75E7BEA1" w14:textId="302A8A58" w:rsidR="0029509E" w:rsidRDefault="0029509E" w:rsidP="00AA4EFD">
            <w:pPr>
              <w:pStyle w:val="ListParagraph"/>
              <w:spacing w:line="360" w:lineRule="auto"/>
              <w:ind w:left="0"/>
            </w:pPr>
          </w:p>
        </w:tc>
        <w:tc>
          <w:tcPr>
            <w:tcW w:w="699" w:type="pct"/>
          </w:tcPr>
          <w:p w14:paraId="2FB13C8B" w14:textId="77777777" w:rsidR="0029509E" w:rsidRDefault="0029509E" w:rsidP="00AA4EFD">
            <w:pPr>
              <w:pStyle w:val="ListParagraph"/>
              <w:spacing w:line="360" w:lineRule="auto"/>
              <w:ind w:left="0"/>
            </w:pPr>
          </w:p>
        </w:tc>
        <w:tc>
          <w:tcPr>
            <w:tcW w:w="2050" w:type="pct"/>
          </w:tcPr>
          <w:p w14:paraId="2891F521" w14:textId="77777777" w:rsidR="0029509E" w:rsidRDefault="0029509E" w:rsidP="00AA4EFD">
            <w:pPr>
              <w:pStyle w:val="ListParagraph"/>
              <w:spacing w:line="360" w:lineRule="auto"/>
              <w:ind w:left="0"/>
            </w:pPr>
          </w:p>
        </w:tc>
        <w:tc>
          <w:tcPr>
            <w:tcW w:w="1749" w:type="pct"/>
          </w:tcPr>
          <w:p w14:paraId="5689220B" w14:textId="5FA3C38E" w:rsidR="0029509E" w:rsidRDefault="0029509E" w:rsidP="00AA4EFD">
            <w:pPr>
              <w:pStyle w:val="ListParagraph"/>
              <w:spacing w:line="360" w:lineRule="auto"/>
              <w:ind w:left="0"/>
            </w:pPr>
          </w:p>
        </w:tc>
      </w:tr>
    </w:tbl>
    <w:p w14:paraId="78D1038E" w14:textId="3DF45398" w:rsidR="0029509E" w:rsidRPr="006731F8" w:rsidRDefault="0029509E" w:rsidP="00AA4EFD">
      <w:pPr>
        <w:pStyle w:val="Heading5"/>
        <w:rPr>
          <w:sz w:val="26"/>
          <w:szCs w:val="26"/>
        </w:rPr>
      </w:pPr>
    </w:p>
    <w:p w14:paraId="6137C309" w14:textId="5DE0924B" w:rsidR="00AA4EFD" w:rsidRPr="006731F8" w:rsidRDefault="00AA4EFD" w:rsidP="00AA4EFD">
      <w:pPr>
        <w:pStyle w:val="Heading5"/>
        <w:rPr>
          <w:b/>
          <w:bCs/>
          <w:sz w:val="26"/>
          <w:szCs w:val="26"/>
        </w:rPr>
      </w:pPr>
      <w:r w:rsidRPr="006731F8">
        <w:rPr>
          <w:b/>
          <w:bCs/>
          <w:sz w:val="26"/>
          <w:szCs w:val="26"/>
        </w:rPr>
        <w:t>Distribution</w:t>
      </w:r>
    </w:p>
    <w:tbl>
      <w:tblPr>
        <w:tblStyle w:val="TableGrid"/>
        <w:tblW w:w="5000" w:type="pct"/>
        <w:tblLook w:val="04A0" w:firstRow="1" w:lastRow="0" w:firstColumn="1" w:lastColumn="0" w:noHBand="0" w:noVBand="1"/>
      </w:tblPr>
      <w:tblGrid>
        <w:gridCol w:w="3155"/>
        <w:gridCol w:w="2705"/>
        <w:gridCol w:w="2074"/>
        <w:gridCol w:w="1082"/>
      </w:tblGrid>
      <w:tr w:rsidR="006731F8" w14:paraId="3425A7C6" w14:textId="77777777" w:rsidTr="00A45984">
        <w:tc>
          <w:tcPr>
            <w:tcW w:w="1750" w:type="pct"/>
          </w:tcPr>
          <w:p w14:paraId="1B438022" w14:textId="2D1D5F89" w:rsidR="006731F8" w:rsidRDefault="006731F8" w:rsidP="0058089E">
            <w:pPr>
              <w:pStyle w:val="ListParagraph"/>
              <w:ind w:left="0"/>
            </w:pPr>
            <w:r>
              <w:t>Name of Person/Group</w:t>
            </w:r>
          </w:p>
        </w:tc>
        <w:tc>
          <w:tcPr>
            <w:tcW w:w="1500" w:type="pct"/>
          </w:tcPr>
          <w:p w14:paraId="07975220" w14:textId="0A1712DF" w:rsidR="006731F8" w:rsidRDefault="006731F8" w:rsidP="0058089E">
            <w:pPr>
              <w:pStyle w:val="ListParagraph"/>
              <w:ind w:left="0"/>
            </w:pPr>
            <w:r>
              <w:t>Date of issue</w:t>
            </w:r>
          </w:p>
        </w:tc>
        <w:tc>
          <w:tcPr>
            <w:tcW w:w="1150" w:type="pct"/>
          </w:tcPr>
          <w:p w14:paraId="53364AD3" w14:textId="72FF35FA" w:rsidR="006731F8" w:rsidRDefault="006731F8" w:rsidP="0058089E">
            <w:pPr>
              <w:pStyle w:val="ListParagraph"/>
              <w:ind w:left="0"/>
            </w:pPr>
            <w:r>
              <w:t>Communicated by (Medium)</w:t>
            </w:r>
          </w:p>
        </w:tc>
        <w:tc>
          <w:tcPr>
            <w:tcW w:w="600" w:type="pct"/>
          </w:tcPr>
          <w:p w14:paraId="64E15924" w14:textId="5297D91C" w:rsidR="006731F8" w:rsidRDefault="006731F8" w:rsidP="0058089E">
            <w:pPr>
              <w:pStyle w:val="ListParagraph"/>
              <w:ind w:left="0"/>
            </w:pPr>
            <w:r>
              <w:t>Version</w:t>
            </w:r>
          </w:p>
        </w:tc>
      </w:tr>
      <w:tr w:rsidR="006731F8" w14:paraId="635BBBC5" w14:textId="77777777" w:rsidTr="00A45984">
        <w:tc>
          <w:tcPr>
            <w:tcW w:w="1750" w:type="pct"/>
          </w:tcPr>
          <w:p w14:paraId="23A22DC6" w14:textId="29D277D6" w:rsidR="006731F8" w:rsidRDefault="001235C1" w:rsidP="0058089E">
            <w:pPr>
              <w:pStyle w:val="ListParagraph"/>
              <w:spacing w:line="360" w:lineRule="auto"/>
              <w:ind w:left="0"/>
            </w:pPr>
            <w:r>
              <w:t>BEDOC employees</w:t>
            </w:r>
          </w:p>
        </w:tc>
        <w:tc>
          <w:tcPr>
            <w:tcW w:w="1500" w:type="pct"/>
          </w:tcPr>
          <w:p w14:paraId="1FC2CC6A" w14:textId="6F4C19F4" w:rsidR="006731F8" w:rsidRDefault="006731F8" w:rsidP="0058089E">
            <w:pPr>
              <w:pStyle w:val="ListParagraph"/>
              <w:spacing w:line="360" w:lineRule="auto"/>
              <w:ind w:left="0"/>
            </w:pPr>
          </w:p>
        </w:tc>
        <w:tc>
          <w:tcPr>
            <w:tcW w:w="1150" w:type="pct"/>
          </w:tcPr>
          <w:p w14:paraId="0F28BCED" w14:textId="46C6AFFA" w:rsidR="006731F8" w:rsidRDefault="001235C1" w:rsidP="0058089E">
            <w:pPr>
              <w:pStyle w:val="ListParagraph"/>
              <w:spacing w:line="360" w:lineRule="auto"/>
              <w:ind w:left="0"/>
            </w:pPr>
            <w:r>
              <w:t>Shared Drive / Staffology</w:t>
            </w:r>
          </w:p>
        </w:tc>
        <w:tc>
          <w:tcPr>
            <w:tcW w:w="600" w:type="pct"/>
          </w:tcPr>
          <w:p w14:paraId="28E48F57" w14:textId="4F6181E4" w:rsidR="006731F8" w:rsidRDefault="006731F8" w:rsidP="0058089E">
            <w:pPr>
              <w:pStyle w:val="ListParagraph"/>
              <w:spacing w:line="360" w:lineRule="auto"/>
              <w:ind w:left="0"/>
            </w:pPr>
            <w:r>
              <w:t>1</w:t>
            </w:r>
          </w:p>
        </w:tc>
      </w:tr>
      <w:tr w:rsidR="006731F8" w14:paraId="502429DA" w14:textId="77777777" w:rsidTr="00A45984">
        <w:tc>
          <w:tcPr>
            <w:tcW w:w="1750" w:type="pct"/>
          </w:tcPr>
          <w:p w14:paraId="513F5320" w14:textId="77777777" w:rsidR="006731F8" w:rsidRDefault="006731F8" w:rsidP="0058089E">
            <w:pPr>
              <w:pStyle w:val="ListParagraph"/>
              <w:spacing w:line="360" w:lineRule="auto"/>
              <w:ind w:left="0"/>
            </w:pPr>
          </w:p>
        </w:tc>
        <w:tc>
          <w:tcPr>
            <w:tcW w:w="1500" w:type="pct"/>
          </w:tcPr>
          <w:p w14:paraId="0564D54F" w14:textId="77777777" w:rsidR="006731F8" w:rsidRDefault="006731F8" w:rsidP="0058089E">
            <w:pPr>
              <w:pStyle w:val="ListParagraph"/>
              <w:spacing w:line="360" w:lineRule="auto"/>
              <w:ind w:left="0"/>
            </w:pPr>
          </w:p>
        </w:tc>
        <w:tc>
          <w:tcPr>
            <w:tcW w:w="1150" w:type="pct"/>
          </w:tcPr>
          <w:p w14:paraId="0857F3A5" w14:textId="77777777" w:rsidR="006731F8" w:rsidRDefault="006731F8" w:rsidP="0058089E">
            <w:pPr>
              <w:pStyle w:val="ListParagraph"/>
              <w:spacing w:line="360" w:lineRule="auto"/>
              <w:ind w:left="0"/>
            </w:pPr>
          </w:p>
        </w:tc>
        <w:tc>
          <w:tcPr>
            <w:tcW w:w="600" w:type="pct"/>
          </w:tcPr>
          <w:p w14:paraId="312AC068" w14:textId="77777777" w:rsidR="006731F8" w:rsidRDefault="006731F8" w:rsidP="0058089E">
            <w:pPr>
              <w:pStyle w:val="ListParagraph"/>
              <w:spacing w:line="360" w:lineRule="auto"/>
              <w:ind w:left="0"/>
            </w:pPr>
          </w:p>
        </w:tc>
      </w:tr>
      <w:tr w:rsidR="006731F8" w14:paraId="18278F48" w14:textId="77777777" w:rsidTr="00A45984">
        <w:tc>
          <w:tcPr>
            <w:tcW w:w="1750" w:type="pct"/>
          </w:tcPr>
          <w:p w14:paraId="16666265" w14:textId="77777777" w:rsidR="006731F8" w:rsidRDefault="006731F8" w:rsidP="0058089E">
            <w:pPr>
              <w:pStyle w:val="ListParagraph"/>
              <w:spacing w:line="360" w:lineRule="auto"/>
              <w:ind w:left="0"/>
            </w:pPr>
          </w:p>
        </w:tc>
        <w:tc>
          <w:tcPr>
            <w:tcW w:w="1500" w:type="pct"/>
          </w:tcPr>
          <w:p w14:paraId="70D97A21" w14:textId="77777777" w:rsidR="006731F8" w:rsidRDefault="006731F8" w:rsidP="0058089E">
            <w:pPr>
              <w:pStyle w:val="ListParagraph"/>
              <w:spacing w:line="360" w:lineRule="auto"/>
              <w:ind w:left="0"/>
            </w:pPr>
          </w:p>
        </w:tc>
        <w:tc>
          <w:tcPr>
            <w:tcW w:w="1150" w:type="pct"/>
          </w:tcPr>
          <w:p w14:paraId="622F4217" w14:textId="77777777" w:rsidR="006731F8" w:rsidRDefault="006731F8" w:rsidP="0058089E">
            <w:pPr>
              <w:pStyle w:val="ListParagraph"/>
              <w:spacing w:line="360" w:lineRule="auto"/>
              <w:ind w:left="0"/>
            </w:pPr>
          </w:p>
        </w:tc>
        <w:tc>
          <w:tcPr>
            <w:tcW w:w="600" w:type="pct"/>
          </w:tcPr>
          <w:p w14:paraId="4A07612B" w14:textId="77777777" w:rsidR="006731F8" w:rsidRDefault="006731F8" w:rsidP="0058089E">
            <w:pPr>
              <w:pStyle w:val="ListParagraph"/>
              <w:spacing w:line="360" w:lineRule="auto"/>
              <w:ind w:left="0"/>
            </w:pPr>
          </w:p>
        </w:tc>
      </w:tr>
    </w:tbl>
    <w:p w14:paraId="0B593FCF" w14:textId="4CB81383" w:rsidR="00AA4EFD" w:rsidRDefault="00AA4EFD" w:rsidP="00AA4EFD">
      <w:pPr>
        <w:rPr>
          <w:rFonts w:cstheme="minorHAnsi"/>
        </w:rPr>
      </w:pPr>
    </w:p>
    <w:p w14:paraId="4E74F0EC" w14:textId="77777777" w:rsidR="008606B6" w:rsidRDefault="008606B6" w:rsidP="00AA4EFD">
      <w:pPr>
        <w:rPr>
          <w:rFonts w:cstheme="minorHAnsi"/>
        </w:rPr>
      </w:pPr>
    </w:p>
    <w:p w14:paraId="23A31AA3" w14:textId="77777777" w:rsidR="008606B6" w:rsidRDefault="008606B6" w:rsidP="00AA4EFD">
      <w:pPr>
        <w:rPr>
          <w:rFonts w:cstheme="minorHAnsi"/>
        </w:rPr>
      </w:pPr>
    </w:p>
    <w:p w14:paraId="05C9A951" w14:textId="15838B2A" w:rsidR="0099241E" w:rsidRPr="0099241E" w:rsidRDefault="0099241E" w:rsidP="0099241E">
      <w:pPr>
        <w:rPr>
          <w:rFonts w:cstheme="minorHAnsi"/>
        </w:rPr>
      </w:pPr>
      <w:r w:rsidRPr="0099241E">
        <w:rPr>
          <w:rFonts w:cstheme="minorHAnsi"/>
        </w:rPr>
        <w:lastRenderedPageBreak/>
        <w:t xml:space="preserve">Carbon Reduction Plan for BEDOC </w:t>
      </w:r>
    </w:p>
    <w:p w14:paraId="247139F5" w14:textId="45BF6261" w:rsidR="0099241E" w:rsidRPr="0099241E" w:rsidRDefault="0099241E" w:rsidP="0099241E">
      <w:pPr>
        <w:rPr>
          <w:rFonts w:cstheme="minorHAnsi"/>
        </w:rPr>
      </w:pPr>
      <w:r w:rsidRPr="0099241E">
        <w:rPr>
          <w:rFonts w:cstheme="minorHAnsi"/>
        </w:rPr>
        <w:t xml:space="preserve">BEDOC, as an out-of-hours GP and healthcare provider, plays a vital role in delivering medical care. To align with the UK’s Net Zero by 2050 target and the NHS's goal to reach Net Zero by 2040, BEDOC </w:t>
      </w:r>
      <w:r>
        <w:rPr>
          <w:rFonts w:cstheme="minorHAnsi"/>
        </w:rPr>
        <w:t>has introduced and is implementing</w:t>
      </w:r>
      <w:r w:rsidRPr="0099241E">
        <w:rPr>
          <w:rFonts w:cstheme="minorHAnsi"/>
        </w:rPr>
        <w:t xml:space="preserve"> a tailored Carbon Reduction Plan focused on reducing emissions while maintaining high-quality patient care.</w:t>
      </w:r>
    </w:p>
    <w:p w14:paraId="26C921F4" w14:textId="77777777" w:rsidR="0099241E" w:rsidRPr="0099241E" w:rsidRDefault="0099241E" w:rsidP="0099241E">
      <w:pPr>
        <w:rPr>
          <w:rFonts w:cstheme="minorHAnsi"/>
        </w:rPr>
      </w:pPr>
    </w:p>
    <w:p w14:paraId="0D285F17" w14:textId="77777777" w:rsidR="0099241E" w:rsidRPr="0099241E" w:rsidRDefault="0099241E" w:rsidP="0099241E">
      <w:pPr>
        <w:rPr>
          <w:rFonts w:cstheme="minorHAnsi"/>
        </w:rPr>
      </w:pPr>
      <w:r w:rsidRPr="0099241E">
        <w:rPr>
          <w:rFonts w:cstheme="minorHAnsi"/>
        </w:rPr>
        <w:t>1</w:t>
      </w:r>
      <w:r w:rsidRPr="00D5105C">
        <w:rPr>
          <w:rFonts w:cstheme="minorHAnsi"/>
          <w:b/>
          <w:bCs/>
        </w:rPr>
        <w:t>. Overarching Goals</w:t>
      </w:r>
    </w:p>
    <w:p w14:paraId="60D4B9D7" w14:textId="77777777" w:rsidR="0099241E" w:rsidRPr="0099241E" w:rsidRDefault="0099241E" w:rsidP="0099241E">
      <w:pPr>
        <w:rPr>
          <w:rFonts w:cstheme="minorHAnsi"/>
        </w:rPr>
      </w:pPr>
      <w:r w:rsidRPr="0099241E">
        <w:rPr>
          <w:rFonts w:cstheme="minorHAnsi"/>
        </w:rPr>
        <w:t>Net Zero Carbon Emissions by 2040: Achieve net-zero emissions for all BEDOC activities, including energy use, transportation, and procurement.</w:t>
      </w:r>
    </w:p>
    <w:p w14:paraId="5BEA47B1" w14:textId="77777777" w:rsidR="0099241E" w:rsidRPr="0099241E" w:rsidRDefault="0099241E" w:rsidP="0099241E">
      <w:pPr>
        <w:rPr>
          <w:rFonts w:cstheme="minorHAnsi"/>
        </w:rPr>
      </w:pPr>
      <w:r w:rsidRPr="0099241E">
        <w:rPr>
          <w:rFonts w:cstheme="minorHAnsi"/>
        </w:rPr>
        <w:t>Interim Targets:</w:t>
      </w:r>
    </w:p>
    <w:p w14:paraId="45CD424B" w14:textId="77777777" w:rsidR="0099241E" w:rsidRPr="0099241E" w:rsidRDefault="0099241E" w:rsidP="0099241E">
      <w:pPr>
        <w:rPr>
          <w:rFonts w:cstheme="minorHAnsi"/>
        </w:rPr>
      </w:pPr>
      <w:r w:rsidRPr="0099241E">
        <w:rPr>
          <w:rFonts w:cstheme="minorHAnsi"/>
        </w:rPr>
        <w:t>50% reduction in carbon emissions by 2030.</w:t>
      </w:r>
    </w:p>
    <w:p w14:paraId="6E750DC9" w14:textId="41FC4A88" w:rsidR="0099241E" w:rsidRPr="0099241E" w:rsidRDefault="0099241E" w:rsidP="0099241E">
      <w:pPr>
        <w:rPr>
          <w:rFonts w:cstheme="minorHAnsi"/>
        </w:rPr>
      </w:pPr>
      <w:r w:rsidRPr="0099241E">
        <w:rPr>
          <w:rFonts w:cstheme="minorHAnsi"/>
        </w:rPr>
        <w:t>Ensure BEDOC facilities and operations meet sustainable healthcare standards by 2028.</w:t>
      </w:r>
    </w:p>
    <w:p w14:paraId="1B9ED05B" w14:textId="77777777" w:rsidR="0099241E" w:rsidRPr="00D5105C" w:rsidRDefault="0099241E" w:rsidP="0099241E">
      <w:pPr>
        <w:rPr>
          <w:rFonts w:cstheme="minorHAnsi"/>
          <w:b/>
          <w:bCs/>
        </w:rPr>
      </w:pPr>
      <w:r w:rsidRPr="00D5105C">
        <w:rPr>
          <w:rFonts w:cstheme="minorHAnsi"/>
          <w:b/>
          <w:bCs/>
        </w:rPr>
        <w:t>2. Sector-Specific Strategies</w:t>
      </w:r>
    </w:p>
    <w:p w14:paraId="36AC021C" w14:textId="77777777" w:rsidR="0099241E" w:rsidRPr="00D5105C" w:rsidRDefault="0099241E" w:rsidP="0099241E">
      <w:pPr>
        <w:rPr>
          <w:rFonts w:cstheme="minorHAnsi"/>
          <w:b/>
          <w:bCs/>
        </w:rPr>
      </w:pPr>
      <w:r w:rsidRPr="00D5105C">
        <w:rPr>
          <w:rFonts w:cstheme="minorHAnsi"/>
          <w:b/>
          <w:bCs/>
        </w:rPr>
        <w:t>A. Energy Efficiency and Green Energy</w:t>
      </w:r>
    </w:p>
    <w:p w14:paraId="5E6EEB34" w14:textId="06C40A24" w:rsidR="0099241E" w:rsidRPr="0099241E" w:rsidRDefault="0099241E" w:rsidP="0099241E">
      <w:pPr>
        <w:rPr>
          <w:rFonts w:cstheme="minorHAnsi"/>
        </w:rPr>
      </w:pPr>
      <w:r w:rsidRPr="0099241E">
        <w:rPr>
          <w:rFonts w:cstheme="minorHAnsi"/>
        </w:rPr>
        <w:t>Switch to Renewable Energy:</w:t>
      </w:r>
    </w:p>
    <w:p w14:paraId="61451B34" w14:textId="77777777" w:rsidR="0099241E" w:rsidRPr="0099241E" w:rsidRDefault="0099241E" w:rsidP="0099241E">
      <w:pPr>
        <w:rPr>
          <w:rFonts w:cstheme="minorHAnsi"/>
        </w:rPr>
      </w:pPr>
      <w:r w:rsidRPr="0099241E">
        <w:rPr>
          <w:rFonts w:cstheme="minorHAnsi"/>
        </w:rPr>
        <w:t>Install solar panels on BEDOC premises where feasible to generate on-site renewable energy.</w:t>
      </w:r>
    </w:p>
    <w:p w14:paraId="103964AC" w14:textId="59B6DEBB" w:rsidR="0099241E" w:rsidRPr="00D5105C" w:rsidRDefault="0099241E" w:rsidP="0099241E">
      <w:pPr>
        <w:rPr>
          <w:rFonts w:cstheme="minorHAnsi"/>
          <w:b/>
          <w:bCs/>
        </w:rPr>
      </w:pPr>
      <w:r w:rsidRPr="00D5105C">
        <w:rPr>
          <w:rFonts w:cstheme="minorHAnsi"/>
          <w:b/>
          <w:bCs/>
        </w:rPr>
        <w:t>Energy-Efficient Buildings:</w:t>
      </w:r>
    </w:p>
    <w:p w14:paraId="04D7C8B8" w14:textId="77777777" w:rsidR="0099241E" w:rsidRPr="0099241E" w:rsidRDefault="0099241E" w:rsidP="0099241E">
      <w:pPr>
        <w:rPr>
          <w:rFonts w:cstheme="minorHAnsi"/>
        </w:rPr>
      </w:pPr>
      <w:r w:rsidRPr="0099241E">
        <w:rPr>
          <w:rFonts w:cstheme="minorHAnsi"/>
        </w:rPr>
        <w:t>Conduct an energy audit of all facilities to identify inefficiencies in heating, cooling, lighting, and equipment usage.</w:t>
      </w:r>
    </w:p>
    <w:p w14:paraId="653BF117" w14:textId="77777777" w:rsidR="0099241E" w:rsidRPr="0099241E" w:rsidRDefault="0099241E" w:rsidP="0099241E">
      <w:pPr>
        <w:rPr>
          <w:rFonts w:cstheme="minorHAnsi"/>
        </w:rPr>
      </w:pPr>
      <w:r w:rsidRPr="0099241E">
        <w:rPr>
          <w:rFonts w:cstheme="minorHAnsi"/>
        </w:rPr>
        <w:t>Implement energy efficiency upgrades such as LED lighting, improved insulation, and smart thermostats to reduce energy consumption.</w:t>
      </w:r>
    </w:p>
    <w:p w14:paraId="6A308335" w14:textId="77777777" w:rsidR="0099241E" w:rsidRPr="00D5105C" w:rsidRDefault="0099241E" w:rsidP="0099241E">
      <w:pPr>
        <w:rPr>
          <w:rFonts w:cstheme="minorHAnsi"/>
          <w:b/>
          <w:bCs/>
        </w:rPr>
      </w:pPr>
      <w:r w:rsidRPr="00D5105C">
        <w:rPr>
          <w:rFonts w:cstheme="minorHAnsi"/>
          <w:b/>
          <w:bCs/>
        </w:rPr>
        <w:t>B. Low-Carbon Transport</w:t>
      </w:r>
    </w:p>
    <w:p w14:paraId="7BA3FE4B" w14:textId="578B92A9" w:rsidR="0099241E" w:rsidRPr="0099241E" w:rsidRDefault="0099241E" w:rsidP="0099241E">
      <w:pPr>
        <w:rPr>
          <w:rFonts w:cstheme="minorHAnsi"/>
        </w:rPr>
      </w:pPr>
      <w:r w:rsidRPr="0099241E">
        <w:rPr>
          <w:rFonts w:cstheme="minorHAnsi"/>
        </w:rPr>
        <w:t>Electric Vehicle (EV) Fleet:</w:t>
      </w:r>
    </w:p>
    <w:p w14:paraId="5D5F7A75" w14:textId="2F23FE81" w:rsidR="0099241E" w:rsidRPr="0099241E" w:rsidRDefault="00D5105C" w:rsidP="0099241E">
      <w:pPr>
        <w:rPr>
          <w:rFonts w:cstheme="minorHAnsi"/>
        </w:rPr>
      </w:pPr>
      <w:r>
        <w:rPr>
          <w:rFonts w:cstheme="minorHAnsi"/>
        </w:rPr>
        <w:t>Should a BEDOC vehicle fleet become necessary we will commit to t</w:t>
      </w:r>
      <w:r w:rsidR="0099241E" w:rsidRPr="0099241E">
        <w:rPr>
          <w:rFonts w:cstheme="minorHAnsi"/>
        </w:rPr>
        <w:t>ransition the BEDOC fleet (</w:t>
      </w:r>
      <w:r>
        <w:rPr>
          <w:rFonts w:cstheme="minorHAnsi"/>
        </w:rPr>
        <w:t xml:space="preserve">i.e </w:t>
      </w:r>
      <w:r w:rsidR="0099241E" w:rsidRPr="0099241E">
        <w:rPr>
          <w:rFonts w:cstheme="minorHAnsi"/>
        </w:rPr>
        <w:t>for emergency home visits) to electric vehicles by 203</w:t>
      </w:r>
      <w:r>
        <w:rPr>
          <w:rFonts w:cstheme="minorHAnsi"/>
        </w:rPr>
        <w:t>2</w:t>
      </w:r>
      <w:r w:rsidR="0099241E" w:rsidRPr="0099241E">
        <w:rPr>
          <w:rFonts w:cstheme="minorHAnsi"/>
        </w:rPr>
        <w:t>.</w:t>
      </w:r>
    </w:p>
    <w:p w14:paraId="32E9B40B" w14:textId="551307F3" w:rsidR="0099241E" w:rsidRPr="0099241E" w:rsidRDefault="0099241E" w:rsidP="0099241E">
      <w:pPr>
        <w:rPr>
          <w:rFonts w:cstheme="minorHAnsi"/>
        </w:rPr>
      </w:pPr>
      <w:r w:rsidRPr="0099241E">
        <w:rPr>
          <w:rFonts w:cstheme="minorHAnsi"/>
        </w:rPr>
        <w:t>Install EV charging stations at BEDOC headquarters to support the use of electric cars for staff.</w:t>
      </w:r>
    </w:p>
    <w:p w14:paraId="4AACE628" w14:textId="2397B686" w:rsidR="0099241E" w:rsidRPr="0099241E" w:rsidRDefault="00D5105C" w:rsidP="0099241E">
      <w:pPr>
        <w:rPr>
          <w:rFonts w:cstheme="minorHAnsi"/>
        </w:rPr>
      </w:pPr>
      <w:r>
        <w:rPr>
          <w:rFonts w:cstheme="minorHAnsi"/>
        </w:rPr>
        <w:t>Where transport becomes necessary e</w:t>
      </w:r>
      <w:r w:rsidR="0099241E" w:rsidRPr="0099241E">
        <w:rPr>
          <w:rFonts w:cstheme="minorHAnsi"/>
        </w:rPr>
        <w:t>xplore leasing options to adopt EVs sooner, potentially reducing upfront costs.</w:t>
      </w:r>
    </w:p>
    <w:p w14:paraId="20F94083" w14:textId="0E41F239" w:rsidR="0099241E" w:rsidRPr="00D5105C" w:rsidRDefault="0099241E" w:rsidP="0099241E">
      <w:pPr>
        <w:rPr>
          <w:rFonts w:cstheme="minorHAnsi"/>
          <w:b/>
          <w:bCs/>
        </w:rPr>
      </w:pPr>
      <w:r w:rsidRPr="00D5105C">
        <w:rPr>
          <w:rFonts w:cstheme="minorHAnsi"/>
          <w:b/>
          <w:bCs/>
        </w:rPr>
        <w:lastRenderedPageBreak/>
        <w:t>Sustainable Staff Travel:</w:t>
      </w:r>
    </w:p>
    <w:p w14:paraId="152C9512" w14:textId="77777777" w:rsidR="0099241E" w:rsidRPr="0099241E" w:rsidRDefault="0099241E" w:rsidP="0099241E">
      <w:pPr>
        <w:rPr>
          <w:rFonts w:cstheme="minorHAnsi"/>
        </w:rPr>
      </w:pPr>
      <w:r w:rsidRPr="0099241E">
        <w:rPr>
          <w:rFonts w:cstheme="minorHAnsi"/>
        </w:rPr>
        <w:t>Encourage the use of public transport, carpooling, and cycling by providing incentives such as travel allowances or subsidies for public transport passes.</w:t>
      </w:r>
    </w:p>
    <w:p w14:paraId="6A5F7ED8" w14:textId="77777777" w:rsidR="0099241E" w:rsidRPr="0099241E" w:rsidRDefault="0099241E" w:rsidP="0099241E">
      <w:pPr>
        <w:rPr>
          <w:rFonts w:cstheme="minorHAnsi"/>
        </w:rPr>
      </w:pPr>
      <w:r w:rsidRPr="0099241E">
        <w:rPr>
          <w:rFonts w:cstheme="minorHAnsi"/>
        </w:rPr>
        <w:t>Introduce a Cycle to Work scheme to encourage staff to bike to work, reducing the carbon footprint of commuting.</w:t>
      </w:r>
    </w:p>
    <w:p w14:paraId="3D846CEF" w14:textId="12F64063" w:rsidR="0099241E" w:rsidRPr="0099241E" w:rsidRDefault="0099241E" w:rsidP="0099241E">
      <w:pPr>
        <w:rPr>
          <w:rFonts w:cstheme="minorHAnsi"/>
        </w:rPr>
      </w:pPr>
      <w:r w:rsidRPr="0099241E">
        <w:rPr>
          <w:rFonts w:cstheme="minorHAnsi"/>
        </w:rPr>
        <w:t>Reduce Patient Travel:</w:t>
      </w:r>
    </w:p>
    <w:p w14:paraId="1C53D894" w14:textId="77777777" w:rsidR="0099241E" w:rsidRPr="0099241E" w:rsidRDefault="0099241E" w:rsidP="0099241E">
      <w:pPr>
        <w:rPr>
          <w:rFonts w:cstheme="minorHAnsi"/>
        </w:rPr>
      </w:pPr>
      <w:r w:rsidRPr="0099241E">
        <w:rPr>
          <w:rFonts w:cstheme="minorHAnsi"/>
        </w:rPr>
        <w:t>Promote the use of telemedicine and remote consultations wherever possible, reducing the need for patients to travel to physical clinics.</w:t>
      </w:r>
    </w:p>
    <w:p w14:paraId="57A871BE" w14:textId="77777777" w:rsidR="0099241E" w:rsidRPr="0099241E" w:rsidRDefault="0099241E" w:rsidP="0099241E">
      <w:pPr>
        <w:rPr>
          <w:rFonts w:cstheme="minorHAnsi"/>
        </w:rPr>
      </w:pPr>
      <w:r w:rsidRPr="0099241E">
        <w:rPr>
          <w:rFonts w:cstheme="minorHAnsi"/>
        </w:rPr>
        <w:t>Establish localised hubs for in-person consultations to shorten travel distances for patients when physical appointments are necessary.</w:t>
      </w:r>
    </w:p>
    <w:p w14:paraId="742066E7" w14:textId="77777777" w:rsidR="0099241E" w:rsidRPr="00D5105C" w:rsidRDefault="0099241E" w:rsidP="0099241E">
      <w:pPr>
        <w:rPr>
          <w:rFonts w:cstheme="minorHAnsi"/>
          <w:b/>
          <w:bCs/>
        </w:rPr>
      </w:pPr>
      <w:r w:rsidRPr="00D5105C">
        <w:rPr>
          <w:rFonts w:cstheme="minorHAnsi"/>
          <w:b/>
          <w:bCs/>
        </w:rPr>
        <w:t>C. Sustainable Procurement and Waste Management</w:t>
      </w:r>
    </w:p>
    <w:p w14:paraId="3EC3DC1E" w14:textId="0C10DAFA" w:rsidR="0099241E" w:rsidRPr="0099241E" w:rsidRDefault="0099241E" w:rsidP="0099241E">
      <w:pPr>
        <w:rPr>
          <w:rFonts w:cstheme="minorHAnsi"/>
        </w:rPr>
      </w:pPr>
      <w:r w:rsidRPr="0099241E">
        <w:rPr>
          <w:rFonts w:cstheme="minorHAnsi"/>
        </w:rPr>
        <w:t>Sustainable Medical Supplies:</w:t>
      </w:r>
    </w:p>
    <w:p w14:paraId="7AE035F9" w14:textId="77777777" w:rsidR="0099241E" w:rsidRPr="0099241E" w:rsidRDefault="0099241E" w:rsidP="0099241E">
      <w:pPr>
        <w:rPr>
          <w:rFonts w:cstheme="minorHAnsi"/>
        </w:rPr>
      </w:pPr>
      <w:r w:rsidRPr="0099241E">
        <w:rPr>
          <w:rFonts w:cstheme="minorHAnsi"/>
        </w:rPr>
        <w:t>Prioritise procurement from sustainable suppliers that offer low-carbon, ethically sourced medical equipment and supplies.</w:t>
      </w:r>
    </w:p>
    <w:p w14:paraId="068391D0" w14:textId="0066EE04" w:rsidR="0099241E" w:rsidRPr="0099241E" w:rsidRDefault="0099241E" w:rsidP="0099241E">
      <w:pPr>
        <w:rPr>
          <w:rFonts w:cstheme="minorHAnsi"/>
        </w:rPr>
      </w:pPr>
      <w:r w:rsidRPr="0099241E">
        <w:rPr>
          <w:rFonts w:cstheme="minorHAnsi"/>
        </w:rPr>
        <w:t>Engage with suppliers to ensure low-carbon alternatives for commonly used items, such as, PPE and pharmaceuticals.</w:t>
      </w:r>
    </w:p>
    <w:p w14:paraId="6C526337" w14:textId="58153E1A" w:rsidR="0099241E" w:rsidRPr="00D5105C" w:rsidRDefault="0099241E" w:rsidP="0099241E">
      <w:pPr>
        <w:rPr>
          <w:rFonts w:cstheme="minorHAnsi"/>
          <w:b/>
          <w:bCs/>
        </w:rPr>
      </w:pPr>
      <w:r w:rsidRPr="00D5105C">
        <w:rPr>
          <w:rFonts w:cstheme="minorHAnsi"/>
          <w:b/>
          <w:bCs/>
        </w:rPr>
        <w:t>Reduce Single-Use Plastics:</w:t>
      </w:r>
    </w:p>
    <w:p w14:paraId="2FB52633" w14:textId="77777777" w:rsidR="0099241E" w:rsidRPr="0099241E" w:rsidRDefault="0099241E" w:rsidP="0099241E">
      <w:pPr>
        <w:rPr>
          <w:rFonts w:cstheme="minorHAnsi"/>
        </w:rPr>
      </w:pPr>
      <w:r w:rsidRPr="0099241E">
        <w:rPr>
          <w:rFonts w:cstheme="minorHAnsi"/>
        </w:rPr>
        <w:t>Minimise single-use plastics in both patient care and office operations, opting for reusable and compostable alternatives whenever possible.</w:t>
      </w:r>
    </w:p>
    <w:p w14:paraId="53874339" w14:textId="77777777" w:rsidR="0099241E" w:rsidRPr="0099241E" w:rsidRDefault="0099241E" w:rsidP="0099241E">
      <w:pPr>
        <w:rPr>
          <w:rFonts w:cstheme="minorHAnsi"/>
        </w:rPr>
      </w:pPr>
      <w:r w:rsidRPr="0099241E">
        <w:rPr>
          <w:rFonts w:cstheme="minorHAnsi"/>
        </w:rPr>
        <w:t>Implement plastic recycling programs for unavoidable plastic use, particularly in medical packaging and office supplies.</w:t>
      </w:r>
    </w:p>
    <w:p w14:paraId="11047205" w14:textId="72A25148" w:rsidR="0099241E" w:rsidRPr="00D5105C" w:rsidRDefault="0099241E" w:rsidP="0099241E">
      <w:pPr>
        <w:rPr>
          <w:rFonts w:cstheme="minorHAnsi"/>
          <w:b/>
          <w:bCs/>
        </w:rPr>
      </w:pPr>
      <w:r w:rsidRPr="00D5105C">
        <w:rPr>
          <w:rFonts w:cstheme="minorHAnsi"/>
          <w:b/>
          <w:bCs/>
        </w:rPr>
        <w:t>Circular Economy and Waste Reduction:</w:t>
      </w:r>
    </w:p>
    <w:p w14:paraId="7296F0B2" w14:textId="77777777" w:rsidR="0099241E" w:rsidRPr="0099241E" w:rsidRDefault="0099241E" w:rsidP="0099241E">
      <w:pPr>
        <w:rPr>
          <w:rFonts w:cstheme="minorHAnsi"/>
        </w:rPr>
      </w:pPr>
      <w:r w:rsidRPr="0099241E">
        <w:rPr>
          <w:rFonts w:cstheme="minorHAnsi"/>
        </w:rPr>
        <w:t>Increase recycling efforts across all BEDOC locations for general office waste, medical waste, and equipment.</w:t>
      </w:r>
    </w:p>
    <w:p w14:paraId="239CD66D" w14:textId="48BCF72B" w:rsidR="0099241E" w:rsidRPr="0099241E" w:rsidRDefault="0099241E" w:rsidP="0099241E">
      <w:pPr>
        <w:rPr>
          <w:rFonts w:cstheme="minorHAnsi"/>
        </w:rPr>
      </w:pPr>
      <w:r w:rsidRPr="0099241E">
        <w:rPr>
          <w:rFonts w:cstheme="minorHAnsi"/>
        </w:rPr>
        <w:t>Work with local waste contractors to develop circular models, such as recycling waste where possible and implementing waste-to-energy solutions.</w:t>
      </w:r>
    </w:p>
    <w:p w14:paraId="52DACD84" w14:textId="77777777" w:rsidR="0099241E" w:rsidRPr="0099241E" w:rsidRDefault="0099241E" w:rsidP="0099241E">
      <w:pPr>
        <w:rPr>
          <w:rFonts w:cstheme="minorHAnsi"/>
        </w:rPr>
      </w:pPr>
      <w:r w:rsidRPr="0099241E">
        <w:rPr>
          <w:rFonts w:cstheme="minorHAnsi"/>
        </w:rPr>
        <w:t>Set targets to reduce clinical waste and improve waste segregation, ensuring hazardous waste is disposed of safely and efficiently.</w:t>
      </w:r>
    </w:p>
    <w:p w14:paraId="2F0B2A74" w14:textId="77777777" w:rsidR="0099241E" w:rsidRPr="00D5105C" w:rsidRDefault="0099241E" w:rsidP="0099241E">
      <w:pPr>
        <w:rPr>
          <w:rFonts w:cstheme="minorHAnsi"/>
          <w:b/>
          <w:bCs/>
        </w:rPr>
      </w:pPr>
      <w:r w:rsidRPr="00D5105C">
        <w:rPr>
          <w:rFonts w:cstheme="minorHAnsi"/>
          <w:b/>
          <w:bCs/>
        </w:rPr>
        <w:t>D. Digital and Low-Carbon Healthcare Delivery</w:t>
      </w:r>
    </w:p>
    <w:p w14:paraId="7445E868" w14:textId="14630EFF" w:rsidR="0099241E" w:rsidRPr="00D5105C" w:rsidRDefault="0099241E" w:rsidP="0099241E">
      <w:pPr>
        <w:rPr>
          <w:rFonts w:cstheme="minorHAnsi"/>
          <w:b/>
          <w:bCs/>
        </w:rPr>
      </w:pPr>
      <w:r w:rsidRPr="00D5105C">
        <w:rPr>
          <w:rFonts w:cstheme="minorHAnsi"/>
          <w:b/>
          <w:bCs/>
        </w:rPr>
        <w:lastRenderedPageBreak/>
        <w:t>Telemedicine and Digital Appointments:</w:t>
      </w:r>
    </w:p>
    <w:p w14:paraId="38F1D3F2" w14:textId="77777777" w:rsidR="0099241E" w:rsidRPr="0099241E" w:rsidRDefault="0099241E" w:rsidP="0099241E">
      <w:pPr>
        <w:rPr>
          <w:rFonts w:cstheme="minorHAnsi"/>
        </w:rPr>
      </w:pPr>
      <w:r w:rsidRPr="0099241E">
        <w:rPr>
          <w:rFonts w:cstheme="minorHAnsi"/>
        </w:rPr>
        <w:t>Expand the use of video consultations and telephone triage for out-of-hours care, reducing the need for travel (both by staff and patients).</w:t>
      </w:r>
    </w:p>
    <w:p w14:paraId="305CAFA0" w14:textId="77777777" w:rsidR="0099241E" w:rsidRPr="0099241E" w:rsidRDefault="0099241E" w:rsidP="0099241E">
      <w:pPr>
        <w:rPr>
          <w:rFonts w:cstheme="minorHAnsi"/>
        </w:rPr>
      </w:pPr>
      <w:r w:rsidRPr="0099241E">
        <w:rPr>
          <w:rFonts w:cstheme="minorHAnsi"/>
        </w:rPr>
        <w:t>Invest in remote monitoring technologies where appropriate for patients with chronic conditions, enabling them to manage their health without frequent in-person visits.</w:t>
      </w:r>
    </w:p>
    <w:p w14:paraId="635BE03D" w14:textId="374303C9" w:rsidR="0099241E" w:rsidRPr="00D5105C" w:rsidRDefault="0099241E" w:rsidP="0099241E">
      <w:pPr>
        <w:rPr>
          <w:rFonts w:cstheme="minorHAnsi"/>
          <w:b/>
          <w:bCs/>
        </w:rPr>
      </w:pPr>
      <w:r w:rsidRPr="00D5105C">
        <w:rPr>
          <w:rFonts w:cstheme="minorHAnsi"/>
          <w:b/>
          <w:bCs/>
        </w:rPr>
        <w:t>Paperless Operations:</w:t>
      </w:r>
    </w:p>
    <w:p w14:paraId="56B68243" w14:textId="77777777" w:rsidR="0099241E" w:rsidRPr="0099241E" w:rsidRDefault="0099241E" w:rsidP="0099241E">
      <w:pPr>
        <w:rPr>
          <w:rFonts w:cstheme="minorHAnsi"/>
        </w:rPr>
      </w:pPr>
      <w:r w:rsidRPr="0099241E">
        <w:rPr>
          <w:rFonts w:cstheme="minorHAnsi"/>
        </w:rPr>
        <w:t>Move towards paperless systems by digitising patient records, prescriptions, and internal communications.</w:t>
      </w:r>
    </w:p>
    <w:p w14:paraId="32B03914" w14:textId="77777777" w:rsidR="0099241E" w:rsidRPr="0099241E" w:rsidRDefault="0099241E" w:rsidP="0099241E">
      <w:pPr>
        <w:rPr>
          <w:rFonts w:cstheme="minorHAnsi"/>
        </w:rPr>
      </w:pPr>
      <w:r w:rsidRPr="0099241E">
        <w:rPr>
          <w:rFonts w:cstheme="minorHAnsi"/>
        </w:rPr>
        <w:t>Encourage staff to use electronic devices instead of printing materials and ensure all documents are stored and shared digitally.</w:t>
      </w:r>
    </w:p>
    <w:p w14:paraId="3774B3BD" w14:textId="20F503DF" w:rsidR="0099241E" w:rsidRPr="00D5105C" w:rsidRDefault="0099241E" w:rsidP="0099241E">
      <w:pPr>
        <w:rPr>
          <w:rFonts w:cstheme="minorHAnsi"/>
          <w:b/>
          <w:bCs/>
        </w:rPr>
      </w:pPr>
      <w:r w:rsidRPr="00D5105C">
        <w:rPr>
          <w:rFonts w:cstheme="minorHAnsi"/>
          <w:b/>
          <w:bCs/>
        </w:rPr>
        <w:t>Energy-Efficient IT Infrastructure:</w:t>
      </w:r>
    </w:p>
    <w:p w14:paraId="13203B4B" w14:textId="77777777" w:rsidR="0099241E" w:rsidRPr="0099241E" w:rsidRDefault="0099241E" w:rsidP="0099241E">
      <w:pPr>
        <w:rPr>
          <w:rFonts w:cstheme="minorHAnsi"/>
        </w:rPr>
      </w:pPr>
      <w:r w:rsidRPr="0099241E">
        <w:rPr>
          <w:rFonts w:cstheme="minorHAnsi"/>
        </w:rPr>
        <w:t>Ensure IT systems, servers, and equipment use energy-efficient technology, reducing the carbon footprint of digital operations.</w:t>
      </w:r>
    </w:p>
    <w:p w14:paraId="568F79B9" w14:textId="77777777" w:rsidR="0099241E" w:rsidRPr="0099241E" w:rsidRDefault="0099241E" w:rsidP="0099241E">
      <w:pPr>
        <w:rPr>
          <w:rFonts w:cstheme="minorHAnsi"/>
        </w:rPr>
      </w:pPr>
      <w:r w:rsidRPr="0099241E">
        <w:rPr>
          <w:rFonts w:cstheme="minorHAnsi"/>
        </w:rPr>
        <w:t>Partner with green cloud service providers that operate using renewable energy and efficient data centres.</w:t>
      </w:r>
    </w:p>
    <w:p w14:paraId="593D8100" w14:textId="77777777" w:rsidR="0099241E" w:rsidRPr="00D5105C" w:rsidRDefault="0099241E" w:rsidP="0099241E">
      <w:pPr>
        <w:rPr>
          <w:rFonts w:cstheme="minorHAnsi"/>
          <w:b/>
          <w:bCs/>
        </w:rPr>
      </w:pPr>
      <w:r w:rsidRPr="00D5105C">
        <w:rPr>
          <w:rFonts w:cstheme="minorHAnsi"/>
          <w:b/>
          <w:bCs/>
        </w:rPr>
        <w:t>E. Sustainable Office Practices</w:t>
      </w:r>
    </w:p>
    <w:p w14:paraId="13AE5894" w14:textId="29C5CC8A" w:rsidR="0099241E" w:rsidRPr="00D5105C" w:rsidRDefault="0099241E" w:rsidP="0099241E">
      <w:pPr>
        <w:rPr>
          <w:rFonts w:cstheme="minorHAnsi"/>
          <w:b/>
          <w:bCs/>
        </w:rPr>
      </w:pPr>
      <w:r w:rsidRPr="00D5105C">
        <w:rPr>
          <w:rFonts w:cstheme="minorHAnsi"/>
          <w:b/>
          <w:bCs/>
        </w:rPr>
        <w:t>Green Office Initiatives:</w:t>
      </w:r>
    </w:p>
    <w:p w14:paraId="2288D0C7" w14:textId="77777777" w:rsidR="0099241E" w:rsidRPr="0099241E" w:rsidRDefault="0099241E" w:rsidP="0099241E">
      <w:pPr>
        <w:rPr>
          <w:rFonts w:cstheme="minorHAnsi"/>
        </w:rPr>
      </w:pPr>
      <w:r w:rsidRPr="0099241E">
        <w:rPr>
          <w:rFonts w:cstheme="minorHAnsi"/>
        </w:rPr>
        <w:t>Set up energy-saving policies in the workplace, such as turning off equipment when not in use, reducing heating and cooling when the building is unoccupied, and optimising the use of natural light.</w:t>
      </w:r>
    </w:p>
    <w:p w14:paraId="75BE1FCE" w14:textId="77777777" w:rsidR="0099241E" w:rsidRPr="0099241E" w:rsidRDefault="0099241E" w:rsidP="0099241E">
      <w:pPr>
        <w:rPr>
          <w:rFonts w:cstheme="minorHAnsi"/>
        </w:rPr>
      </w:pPr>
      <w:r w:rsidRPr="0099241E">
        <w:rPr>
          <w:rFonts w:cstheme="minorHAnsi"/>
        </w:rPr>
        <w:t>Encourage flexible working options, including remote work, which can reduce office energy use and commuting-related emissions.</w:t>
      </w:r>
    </w:p>
    <w:p w14:paraId="6DFC82E5" w14:textId="24448C39" w:rsidR="0099241E" w:rsidRPr="00D5105C" w:rsidRDefault="0099241E" w:rsidP="0099241E">
      <w:pPr>
        <w:rPr>
          <w:rFonts w:cstheme="minorHAnsi"/>
          <w:b/>
          <w:bCs/>
        </w:rPr>
      </w:pPr>
      <w:r w:rsidRPr="00D5105C">
        <w:rPr>
          <w:rFonts w:cstheme="minorHAnsi"/>
          <w:b/>
          <w:bCs/>
        </w:rPr>
        <w:t>Sustainable Catering:</w:t>
      </w:r>
    </w:p>
    <w:p w14:paraId="0B368B9F" w14:textId="77777777" w:rsidR="0099241E" w:rsidRPr="0099241E" w:rsidRDefault="0099241E" w:rsidP="0099241E">
      <w:pPr>
        <w:rPr>
          <w:rFonts w:cstheme="minorHAnsi"/>
        </w:rPr>
      </w:pPr>
      <w:r w:rsidRPr="0099241E">
        <w:rPr>
          <w:rFonts w:cstheme="minorHAnsi"/>
        </w:rPr>
        <w:t>If providing refreshments, source local, organic, and plant-based options to reduce the carbon footprint of catering services.</w:t>
      </w:r>
    </w:p>
    <w:p w14:paraId="46971320" w14:textId="77777777" w:rsidR="0099241E" w:rsidRPr="0099241E" w:rsidRDefault="0099241E" w:rsidP="0099241E">
      <w:pPr>
        <w:rPr>
          <w:rFonts w:cstheme="minorHAnsi"/>
        </w:rPr>
      </w:pPr>
      <w:r w:rsidRPr="0099241E">
        <w:rPr>
          <w:rFonts w:cstheme="minorHAnsi"/>
        </w:rPr>
        <w:t>Eliminate single-use plastics in office kitchens by using reusable cups, utensils, and plates.</w:t>
      </w:r>
    </w:p>
    <w:p w14:paraId="2CC58D97" w14:textId="77777777" w:rsidR="0099241E" w:rsidRPr="00D5105C" w:rsidRDefault="0099241E" w:rsidP="0099241E">
      <w:pPr>
        <w:rPr>
          <w:rFonts w:cstheme="minorHAnsi"/>
          <w:b/>
          <w:bCs/>
        </w:rPr>
      </w:pPr>
      <w:r w:rsidRPr="00D5105C">
        <w:rPr>
          <w:rFonts w:cstheme="minorHAnsi"/>
          <w:b/>
          <w:bCs/>
        </w:rPr>
        <w:t>F. Staff Engagement and Training</w:t>
      </w:r>
    </w:p>
    <w:p w14:paraId="31D5A0F7" w14:textId="77777777" w:rsidR="0099241E" w:rsidRPr="0099241E" w:rsidRDefault="0099241E" w:rsidP="0099241E">
      <w:pPr>
        <w:rPr>
          <w:rFonts w:cstheme="minorHAnsi"/>
        </w:rPr>
      </w:pPr>
      <w:r w:rsidRPr="0099241E">
        <w:rPr>
          <w:rFonts w:cstheme="minorHAnsi"/>
        </w:rPr>
        <w:t>Carbon Literacy Training:</w:t>
      </w:r>
    </w:p>
    <w:p w14:paraId="6B8CE5AA" w14:textId="77777777" w:rsidR="0099241E" w:rsidRPr="0099241E" w:rsidRDefault="0099241E" w:rsidP="0099241E">
      <w:pPr>
        <w:rPr>
          <w:rFonts w:cstheme="minorHAnsi"/>
        </w:rPr>
      </w:pPr>
    </w:p>
    <w:p w14:paraId="1753A4F8" w14:textId="77777777" w:rsidR="0099241E" w:rsidRPr="0099241E" w:rsidRDefault="0099241E" w:rsidP="0099241E">
      <w:pPr>
        <w:rPr>
          <w:rFonts w:cstheme="minorHAnsi"/>
        </w:rPr>
      </w:pPr>
      <w:r w:rsidRPr="0099241E">
        <w:rPr>
          <w:rFonts w:cstheme="minorHAnsi"/>
        </w:rPr>
        <w:lastRenderedPageBreak/>
        <w:t>Provide staff with carbon literacy training, focusing on the healthcare sector’s impact on the environment and how to incorporate low-carbon practices in their work.</w:t>
      </w:r>
    </w:p>
    <w:p w14:paraId="7EEC7B75" w14:textId="77777777" w:rsidR="0099241E" w:rsidRPr="0099241E" w:rsidRDefault="0099241E" w:rsidP="0099241E">
      <w:pPr>
        <w:rPr>
          <w:rFonts w:cstheme="minorHAnsi"/>
        </w:rPr>
      </w:pPr>
      <w:r w:rsidRPr="0099241E">
        <w:rPr>
          <w:rFonts w:cstheme="minorHAnsi"/>
        </w:rPr>
        <w:t>Involve staff in sustainability projects and encourage personal responsibility for reducing energy use, waste, and emissions at work.</w:t>
      </w:r>
    </w:p>
    <w:p w14:paraId="7F8F1C38" w14:textId="2F6C6AAD" w:rsidR="0099241E" w:rsidRPr="00CB5EEF" w:rsidRDefault="0099241E" w:rsidP="0099241E">
      <w:pPr>
        <w:rPr>
          <w:rFonts w:cstheme="minorHAnsi"/>
          <w:b/>
          <w:bCs/>
        </w:rPr>
      </w:pPr>
      <w:r w:rsidRPr="00CB5EEF">
        <w:rPr>
          <w:rFonts w:cstheme="minorHAnsi"/>
          <w:b/>
          <w:bCs/>
        </w:rPr>
        <w:t>Sustainability Champions:</w:t>
      </w:r>
    </w:p>
    <w:p w14:paraId="303A9DF6" w14:textId="77777777" w:rsidR="0099241E" w:rsidRPr="0099241E" w:rsidRDefault="0099241E" w:rsidP="0099241E">
      <w:pPr>
        <w:rPr>
          <w:rFonts w:cstheme="minorHAnsi"/>
        </w:rPr>
      </w:pPr>
      <w:r w:rsidRPr="0099241E">
        <w:rPr>
          <w:rFonts w:cstheme="minorHAnsi"/>
        </w:rPr>
        <w:t>Appoint sustainability champions within the organization who can lead initiatives, share best practices, and monitor progress towards carbon reduction goals.</w:t>
      </w:r>
    </w:p>
    <w:p w14:paraId="53CAA588" w14:textId="77777777" w:rsidR="0099241E" w:rsidRPr="0099241E" w:rsidRDefault="0099241E" w:rsidP="0099241E">
      <w:pPr>
        <w:rPr>
          <w:rFonts w:cstheme="minorHAnsi"/>
        </w:rPr>
      </w:pPr>
      <w:r w:rsidRPr="0099241E">
        <w:rPr>
          <w:rFonts w:cstheme="minorHAnsi"/>
        </w:rPr>
        <w:t>Encourage staff to contribute ideas for sustainability improvements and recognise their efforts through internal awards or incentives.</w:t>
      </w:r>
    </w:p>
    <w:p w14:paraId="203D30F8" w14:textId="77777777" w:rsidR="0099241E" w:rsidRPr="00CB5EEF" w:rsidRDefault="0099241E" w:rsidP="0099241E">
      <w:pPr>
        <w:rPr>
          <w:rFonts w:cstheme="minorHAnsi"/>
          <w:b/>
          <w:bCs/>
        </w:rPr>
      </w:pPr>
      <w:r w:rsidRPr="00CB5EEF">
        <w:rPr>
          <w:rFonts w:cstheme="minorHAnsi"/>
          <w:b/>
          <w:bCs/>
        </w:rPr>
        <w:t>3. Carbon Offsetting and Green Financing</w:t>
      </w:r>
    </w:p>
    <w:p w14:paraId="30DBDC74" w14:textId="6D453713" w:rsidR="0099241E" w:rsidRPr="00CB5EEF" w:rsidRDefault="0099241E" w:rsidP="0099241E">
      <w:pPr>
        <w:rPr>
          <w:rFonts w:cstheme="minorHAnsi"/>
          <w:b/>
          <w:bCs/>
        </w:rPr>
      </w:pPr>
      <w:r w:rsidRPr="00CB5EEF">
        <w:rPr>
          <w:rFonts w:cstheme="minorHAnsi"/>
          <w:b/>
          <w:bCs/>
        </w:rPr>
        <w:t>Offsetting Residual Emissions:</w:t>
      </w:r>
    </w:p>
    <w:p w14:paraId="7DA50D9A" w14:textId="77777777" w:rsidR="0099241E" w:rsidRPr="0099241E" w:rsidRDefault="0099241E" w:rsidP="0099241E">
      <w:pPr>
        <w:rPr>
          <w:rFonts w:cstheme="minorHAnsi"/>
        </w:rPr>
      </w:pPr>
      <w:r w:rsidRPr="0099241E">
        <w:rPr>
          <w:rFonts w:cstheme="minorHAnsi"/>
        </w:rPr>
        <w:t>For any unavoidable emissions, BEDOC can invest in certified carbon offsetting programs, such as tree planting or renewable energy projects, to balance out the carbon footprint.</w:t>
      </w:r>
    </w:p>
    <w:p w14:paraId="4007C761" w14:textId="77777777" w:rsidR="0099241E" w:rsidRPr="0099241E" w:rsidRDefault="0099241E" w:rsidP="0099241E">
      <w:pPr>
        <w:rPr>
          <w:rFonts w:cstheme="minorHAnsi"/>
        </w:rPr>
      </w:pPr>
      <w:r w:rsidRPr="0099241E">
        <w:rPr>
          <w:rFonts w:cstheme="minorHAnsi"/>
        </w:rPr>
        <w:t>Prioritise local carbon offset projects to support community-based environmental improvements.</w:t>
      </w:r>
    </w:p>
    <w:p w14:paraId="009B93E0" w14:textId="135ED801" w:rsidR="0099241E" w:rsidRPr="00CB5EEF" w:rsidRDefault="0099241E" w:rsidP="0099241E">
      <w:pPr>
        <w:rPr>
          <w:rFonts w:cstheme="minorHAnsi"/>
          <w:b/>
          <w:bCs/>
        </w:rPr>
      </w:pPr>
      <w:r w:rsidRPr="00CB5EEF">
        <w:rPr>
          <w:rFonts w:cstheme="minorHAnsi"/>
          <w:b/>
          <w:bCs/>
        </w:rPr>
        <w:t>Green Financing and Funding:</w:t>
      </w:r>
    </w:p>
    <w:p w14:paraId="6B84A182" w14:textId="77777777" w:rsidR="0099241E" w:rsidRPr="0099241E" w:rsidRDefault="0099241E" w:rsidP="0099241E">
      <w:pPr>
        <w:rPr>
          <w:rFonts w:cstheme="minorHAnsi"/>
        </w:rPr>
      </w:pPr>
      <w:r w:rsidRPr="0099241E">
        <w:rPr>
          <w:rFonts w:cstheme="minorHAnsi"/>
        </w:rPr>
        <w:t>Explore green financing options, such as NHS-backed sustainability grants, to fund energy-efficient building upgrades, electric vehicles, and renewable energy installations.</w:t>
      </w:r>
    </w:p>
    <w:p w14:paraId="5A34EDB7" w14:textId="1B0FF9D3" w:rsidR="0099241E" w:rsidRPr="0099241E" w:rsidRDefault="0099241E" w:rsidP="0099241E">
      <w:pPr>
        <w:rPr>
          <w:rFonts w:cstheme="minorHAnsi"/>
        </w:rPr>
      </w:pPr>
      <w:r w:rsidRPr="0099241E">
        <w:rPr>
          <w:rFonts w:cstheme="minorHAnsi"/>
        </w:rPr>
        <w:t xml:space="preserve">Seek partnerships with local councils or </w:t>
      </w:r>
      <w:r w:rsidR="00CB5EEF">
        <w:rPr>
          <w:rFonts w:cstheme="minorHAnsi"/>
        </w:rPr>
        <w:t>other</w:t>
      </w:r>
      <w:r w:rsidRPr="0099241E">
        <w:rPr>
          <w:rFonts w:cstheme="minorHAnsi"/>
        </w:rPr>
        <w:t xml:space="preserve"> to access shared sustainability funding for joint projects.</w:t>
      </w:r>
    </w:p>
    <w:p w14:paraId="3B9063AA" w14:textId="77777777" w:rsidR="0099241E" w:rsidRPr="00CB5EEF" w:rsidRDefault="0099241E" w:rsidP="0099241E">
      <w:pPr>
        <w:rPr>
          <w:rFonts w:cstheme="minorHAnsi"/>
          <w:b/>
          <w:bCs/>
        </w:rPr>
      </w:pPr>
      <w:r w:rsidRPr="00CB5EEF">
        <w:rPr>
          <w:rFonts w:cstheme="minorHAnsi"/>
          <w:b/>
          <w:bCs/>
        </w:rPr>
        <w:t>4. Monitoring and Governance</w:t>
      </w:r>
    </w:p>
    <w:p w14:paraId="64B0EBEA" w14:textId="4EEFC8C7" w:rsidR="0099241E" w:rsidRPr="00CB5EEF" w:rsidRDefault="0099241E" w:rsidP="0099241E">
      <w:pPr>
        <w:rPr>
          <w:rFonts w:cstheme="minorHAnsi"/>
          <w:b/>
          <w:bCs/>
        </w:rPr>
      </w:pPr>
      <w:r w:rsidRPr="00CB5EEF">
        <w:rPr>
          <w:rFonts w:cstheme="minorHAnsi"/>
          <w:b/>
          <w:bCs/>
        </w:rPr>
        <w:t>Carbon Monitoring:</w:t>
      </w:r>
    </w:p>
    <w:p w14:paraId="1B3CEA0C" w14:textId="77777777" w:rsidR="0099241E" w:rsidRPr="0099241E" w:rsidRDefault="0099241E" w:rsidP="0099241E">
      <w:pPr>
        <w:rPr>
          <w:rFonts w:cstheme="minorHAnsi"/>
        </w:rPr>
      </w:pPr>
      <w:r w:rsidRPr="0099241E">
        <w:rPr>
          <w:rFonts w:cstheme="minorHAnsi"/>
        </w:rPr>
        <w:t>Set clear KPIs (Key Performance Indicators) for carbon reduction and review progress annually, ensuring the plan remains on track.</w:t>
      </w:r>
    </w:p>
    <w:p w14:paraId="0AAF6016" w14:textId="5FF64BD0" w:rsidR="0099241E" w:rsidRPr="00CB5EEF" w:rsidRDefault="0099241E" w:rsidP="0099241E">
      <w:pPr>
        <w:rPr>
          <w:rFonts w:cstheme="minorHAnsi"/>
          <w:b/>
          <w:bCs/>
        </w:rPr>
      </w:pPr>
      <w:r w:rsidRPr="00CB5EEF">
        <w:rPr>
          <w:rFonts w:cstheme="minorHAnsi"/>
          <w:b/>
          <w:bCs/>
        </w:rPr>
        <w:t>Sustainability Governance:</w:t>
      </w:r>
    </w:p>
    <w:p w14:paraId="0505E491" w14:textId="77777777" w:rsidR="0099241E" w:rsidRPr="0099241E" w:rsidRDefault="0099241E" w:rsidP="0099241E">
      <w:pPr>
        <w:rPr>
          <w:rFonts w:cstheme="minorHAnsi"/>
        </w:rPr>
      </w:pPr>
      <w:r w:rsidRPr="0099241E">
        <w:rPr>
          <w:rFonts w:cstheme="minorHAnsi"/>
        </w:rPr>
        <w:t>Establish a Sustainability Working Group or committee to oversee the implementation of this Carbon Reduction Plan and make necessary adjustments based on evolving regulations and best practices.</w:t>
      </w:r>
    </w:p>
    <w:p w14:paraId="4E1E4779" w14:textId="77777777" w:rsidR="0099241E" w:rsidRPr="0099241E" w:rsidRDefault="0099241E" w:rsidP="0099241E">
      <w:pPr>
        <w:rPr>
          <w:rFonts w:cstheme="minorHAnsi"/>
        </w:rPr>
      </w:pPr>
      <w:r w:rsidRPr="0099241E">
        <w:rPr>
          <w:rFonts w:cstheme="minorHAnsi"/>
        </w:rPr>
        <w:t>Align with national frameworks such as the NHS Greener NHS Plan and adhere to UK government climate goals.</w:t>
      </w:r>
    </w:p>
    <w:p w14:paraId="7AA8BAA8" w14:textId="77777777" w:rsidR="0099241E" w:rsidRPr="0099241E" w:rsidRDefault="0099241E" w:rsidP="0099241E">
      <w:pPr>
        <w:rPr>
          <w:rFonts w:cstheme="minorHAnsi"/>
        </w:rPr>
      </w:pPr>
      <w:r w:rsidRPr="0099241E">
        <w:rPr>
          <w:rFonts w:cstheme="minorHAnsi"/>
        </w:rPr>
        <w:t>Conclusion</w:t>
      </w:r>
    </w:p>
    <w:p w14:paraId="360DA6BC" w14:textId="77777777" w:rsidR="0099241E" w:rsidRPr="0099241E" w:rsidRDefault="0099241E" w:rsidP="0099241E">
      <w:pPr>
        <w:rPr>
          <w:rFonts w:cstheme="minorHAnsi"/>
        </w:rPr>
      </w:pPr>
      <w:r w:rsidRPr="0099241E">
        <w:rPr>
          <w:rFonts w:cstheme="minorHAnsi"/>
        </w:rPr>
        <w:lastRenderedPageBreak/>
        <w:t>This Carbon Reduction Plan for BEDOC outlines practical and actionable steps to reduce the carbon footprint of its healthcare operations, from reducing energy consumption to transitioning to electric vehicles and promoting digital healthcare solutions. By engaging staff, adopting sustainable practices, and integrating green technologies, BEDOC can contribute to the UK's Net Zero goal, while maintaining its commitment to providing high-quality, patient-centered care. This plan also reflects BEDOC's role in contributing to a greener healthcare system aligned with the NHS’s sustainability initiatives.</w:t>
      </w:r>
    </w:p>
    <w:p w14:paraId="44C23CC2" w14:textId="77777777" w:rsidR="0099241E" w:rsidRPr="0099241E" w:rsidRDefault="0099241E" w:rsidP="0099241E">
      <w:pPr>
        <w:rPr>
          <w:rFonts w:cstheme="minorHAnsi"/>
        </w:rPr>
      </w:pPr>
    </w:p>
    <w:p w14:paraId="6AA1BCBC" w14:textId="77777777" w:rsidR="0099241E" w:rsidRPr="0099241E" w:rsidRDefault="0099241E" w:rsidP="0099241E">
      <w:pPr>
        <w:rPr>
          <w:rFonts w:cstheme="minorHAnsi"/>
        </w:rPr>
      </w:pPr>
    </w:p>
    <w:p w14:paraId="59D26577" w14:textId="77777777" w:rsidR="0099241E" w:rsidRPr="0099241E" w:rsidRDefault="0099241E" w:rsidP="0099241E">
      <w:pPr>
        <w:rPr>
          <w:rFonts w:cstheme="minorHAnsi"/>
        </w:rPr>
      </w:pPr>
    </w:p>
    <w:p w14:paraId="778B7904" w14:textId="77777777" w:rsidR="0099241E" w:rsidRPr="0099241E" w:rsidRDefault="0099241E" w:rsidP="0099241E">
      <w:pPr>
        <w:rPr>
          <w:rFonts w:cstheme="minorHAnsi"/>
        </w:rPr>
      </w:pPr>
    </w:p>
    <w:p w14:paraId="3CAE9925" w14:textId="77777777" w:rsidR="0099241E" w:rsidRPr="0099241E" w:rsidRDefault="0099241E" w:rsidP="0099241E">
      <w:pPr>
        <w:rPr>
          <w:rFonts w:cstheme="minorHAnsi"/>
        </w:rPr>
      </w:pPr>
    </w:p>
    <w:p w14:paraId="7A47D7B1" w14:textId="77777777" w:rsidR="0099241E" w:rsidRDefault="0099241E" w:rsidP="00AA4EFD">
      <w:pPr>
        <w:rPr>
          <w:rFonts w:cstheme="minorHAnsi"/>
        </w:rPr>
      </w:pPr>
    </w:p>
    <w:sectPr w:rsidR="0099241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E75F7" w14:textId="77777777" w:rsidR="00D477DB" w:rsidRDefault="00D477DB" w:rsidP="00180DB6">
      <w:pPr>
        <w:spacing w:after="0" w:line="240" w:lineRule="auto"/>
      </w:pPr>
      <w:r>
        <w:separator/>
      </w:r>
    </w:p>
  </w:endnote>
  <w:endnote w:type="continuationSeparator" w:id="0">
    <w:p w14:paraId="28641C22" w14:textId="77777777" w:rsidR="00D477DB" w:rsidRDefault="00D477DB" w:rsidP="0018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5503B" w14:textId="5E1188A3" w:rsidR="007F56A8" w:rsidRDefault="004C7609" w:rsidP="004C7609">
    <w:pPr>
      <w:pStyle w:val="Footer"/>
      <w:rPr>
        <w:noProof/>
      </w:rPr>
    </w:pPr>
    <w:r>
      <w:rPr>
        <w:noProof/>
      </w:rPr>
      <w:t xml:space="preserve">                                                               </w:t>
    </w:r>
    <w:r w:rsidR="007F56A8">
      <w:rPr>
        <w:noProof/>
      </w:rPr>
      <w:t xml:space="preserve">   </w:t>
    </w:r>
    <w:r w:rsidR="007F56A8">
      <w:rPr>
        <w:noProof/>
      </w:rPr>
      <w:drawing>
        <wp:inline distT="0" distB="0" distL="0" distR="0" wp14:anchorId="347A9A29" wp14:editId="38BF547B">
          <wp:extent cx="1432560"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780" cy="827682"/>
                  </a:xfrm>
                  <a:prstGeom prst="rect">
                    <a:avLst/>
                  </a:prstGeom>
                  <a:noFill/>
                  <a:ln>
                    <a:noFill/>
                  </a:ln>
                </pic:spPr>
              </pic:pic>
            </a:graphicData>
          </a:graphic>
        </wp:inline>
      </w:drawing>
    </w:r>
    <w:r w:rsidR="007F56A8">
      <w:rPr>
        <w:noProof/>
      </w:rPr>
      <w:t xml:space="preserve">                                   </w:t>
    </w:r>
  </w:p>
  <w:p w14:paraId="77A93957" w14:textId="0A15EA21" w:rsidR="007F56A8" w:rsidRPr="007F56A8" w:rsidRDefault="007F56A8" w:rsidP="007F56A8">
    <w:pPr>
      <w:pStyle w:val="Footer"/>
      <w:jc w:val="center"/>
      <w:rPr>
        <w:rFonts w:ascii="Arial" w:eastAsia="Times New Roman" w:hAnsi="Arial" w:cs="Arial"/>
        <w:sz w:val="16"/>
        <w:szCs w:val="16"/>
      </w:rPr>
    </w:pPr>
    <w:r>
      <w:rPr>
        <w:noProof/>
      </w:rPr>
      <w:t xml:space="preserve"> </w:t>
    </w:r>
    <w:r w:rsidRPr="007F56A8">
      <w:rPr>
        <w:rFonts w:ascii="Arial" w:eastAsia="Times New Roman" w:hAnsi="Arial" w:cs="Arial"/>
        <w:sz w:val="16"/>
        <w:szCs w:val="16"/>
        <w:lang w:val="x-none"/>
      </w:rPr>
      <w:t>Registered Office</w:t>
    </w:r>
    <w:r w:rsidRPr="007F56A8">
      <w:rPr>
        <w:rFonts w:ascii="Arial" w:eastAsia="Times New Roman" w:hAnsi="Arial" w:cs="Arial"/>
        <w:sz w:val="16"/>
        <w:szCs w:val="16"/>
      </w:rPr>
      <w:t xml:space="preserve"> </w:t>
    </w:r>
    <w:r w:rsidRPr="007F56A8">
      <w:rPr>
        <w:rFonts w:ascii="Arial" w:eastAsia="Times New Roman" w:hAnsi="Arial" w:cs="Arial"/>
        <w:sz w:val="16"/>
        <w:szCs w:val="16"/>
        <w:lang w:val="x-none"/>
      </w:rPr>
      <w:t>:</w:t>
    </w:r>
    <w:r w:rsidR="00D03B77">
      <w:rPr>
        <w:rFonts w:ascii="Arial" w:eastAsia="Times New Roman" w:hAnsi="Arial" w:cs="Arial"/>
        <w:sz w:val="16"/>
        <w:szCs w:val="16"/>
      </w:rPr>
      <w:t xml:space="preserve"> </w:t>
    </w:r>
    <w:r w:rsidRPr="007F56A8">
      <w:rPr>
        <w:rFonts w:ascii="Arial" w:eastAsia="Times New Roman" w:hAnsi="Arial" w:cs="Arial"/>
        <w:sz w:val="16"/>
        <w:szCs w:val="16"/>
      </w:rPr>
      <w:t>BEDOC</w:t>
    </w:r>
    <w:r w:rsidR="00A23A51">
      <w:rPr>
        <w:rFonts w:ascii="Arial" w:eastAsia="Times New Roman" w:hAnsi="Arial" w:cs="Arial"/>
        <w:sz w:val="16"/>
        <w:szCs w:val="16"/>
      </w:rPr>
      <w:t xml:space="preserve"> (Bedford on Call)</w:t>
    </w:r>
    <w:r w:rsidR="00D03B77">
      <w:rPr>
        <w:rFonts w:ascii="Arial" w:eastAsia="Times New Roman" w:hAnsi="Arial" w:cs="Arial"/>
        <w:sz w:val="16"/>
        <w:szCs w:val="16"/>
      </w:rPr>
      <w:t>,</w:t>
    </w:r>
    <w:r w:rsidRPr="007F56A8">
      <w:rPr>
        <w:rFonts w:ascii="Arial" w:eastAsia="Times New Roman" w:hAnsi="Arial" w:cs="Arial"/>
        <w:sz w:val="16"/>
        <w:szCs w:val="16"/>
        <w:lang w:val="x-none"/>
      </w:rPr>
      <w:t xml:space="preserve"> </w:t>
    </w:r>
    <w:r w:rsidR="00631348">
      <w:rPr>
        <w:rFonts w:ascii="Arial" w:eastAsia="Times New Roman" w:hAnsi="Arial" w:cs="Arial"/>
        <w:sz w:val="16"/>
        <w:szCs w:val="16"/>
      </w:rPr>
      <w:t>16, Stephenson Court, Fraser Road, Bedford, MK44 3WJ.</w:t>
    </w:r>
  </w:p>
  <w:p w14:paraId="3209C088" w14:textId="58AE4D9E" w:rsidR="007F56A8" w:rsidRPr="007F56A8" w:rsidRDefault="007F56A8" w:rsidP="007F56A8">
    <w:pPr>
      <w:tabs>
        <w:tab w:val="center" w:pos="4153"/>
        <w:tab w:val="right" w:pos="8306"/>
      </w:tabs>
      <w:spacing w:after="0" w:line="240" w:lineRule="auto"/>
      <w:jc w:val="center"/>
      <w:rPr>
        <w:rFonts w:ascii="Arial" w:eastAsia="Times New Roman" w:hAnsi="Arial" w:cs="Arial"/>
        <w:sz w:val="20"/>
        <w:szCs w:val="20"/>
      </w:rPr>
    </w:pPr>
    <w:r w:rsidRPr="007F56A8">
      <w:rPr>
        <w:rFonts w:ascii="Arial" w:eastAsia="Times New Roman" w:hAnsi="Arial" w:cs="Arial"/>
        <w:sz w:val="16"/>
        <w:szCs w:val="16"/>
        <w:lang w:val="x-none"/>
      </w:rPr>
      <w:t>Bedoc Registered No. IP29791R</w:t>
    </w:r>
    <w:r w:rsidR="00103EFA">
      <w:rPr>
        <w:rFonts w:ascii="Arial" w:eastAsia="Times New Roman" w:hAnsi="Arial" w:cs="Arial"/>
        <w:sz w:val="16"/>
        <w:szCs w:val="16"/>
      </w:rPr>
      <w:t xml:space="preserve"> </w:t>
    </w:r>
    <w:hyperlink r:id="rId2" w:history="1">
      <w:r w:rsidR="00103EFA" w:rsidRPr="00906155">
        <w:rPr>
          <w:rStyle w:val="Hyperlink"/>
          <w:rFonts w:ascii="Arial" w:eastAsia="Times New Roman" w:hAnsi="Arial" w:cs="Arial"/>
          <w:sz w:val="16"/>
          <w:szCs w:val="16"/>
        </w:rPr>
        <w:t>www.bedoc.co.uk</w:t>
      </w:r>
    </w:hyperlink>
    <w:r w:rsidR="00103EFA">
      <w:rPr>
        <w:rFonts w:ascii="Arial" w:eastAsia="Times New Roman" w:hAnsi="Arial" w:cs="Arial"/>
        <w:sz w:val="16"/>
        <w:szCs w:val="16"/>
      </w:rPr>
      <w:t xml:space="preserve"> email </w:t>
    </w:r>
    <w:hyperlink r:id="rId3" w:history="1">
      <w:r w:rsidR="00103EFA" w:rsidRPr="00906155">
        <w:rPr>
          <w:rStyle w:val="Hyperlink"/>
          <w:rFonts w:ascii="Arial" w:eastAsia="Times New Roman" w:hAnsi="Arial" w:cs="Arial"/>
          <w:sz w:val="16"/>
          <w:szCs w:val="16"/>
        </w:rPr>
        <w:t>e.access@nhs.net</w:t>
      </w:r>
    </w:hyperlink>
    <w:r w:rsidR="00103EFA">
      <w:rPr>
        <w:rFonts w:ascii="Arial" w:eastAsia="Times New Roman" w:hAnsi="Arial" w:cs="Arial"/>
        <w:sz w:val="16"/>
        <w:szCs w:val="16"/>
      </w:rPr>
      <w:t xml:space="preserve"> </w:t>
    </w:r>
  </w:p>
  <w:p w14:paraId="2B23B5A5" w14:textId="5ACB44B1" w:rsidR="00180DB6" w:rsidRDefault="007F56A8" w:rsidP="007F56A8">
    <w:pPr>
      <w:pStyle w:val="Footer"/>
      <w:jc w:val="right"/>
    </w:pPr>
    <w:r>
      <w:rPr>
        <w:noProof/>
      </w:rPr>
      <w:t xml:space="preserve">    </w:t>
    </w:r>
    <w:r>
      <w:rPr>
        <w:noProof/>
      </w:rPr>
      <w:tab/>
      <w:t xml:space="preserve">                                                   </w:t>
    </w:r>
    <w:r w:rsidR="001B55DE">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98883" w14:textId="77777777" w:rsidR="00D477DB" w:rsidRDefault="00D477DB" w:rsidP="00180DB6">
      <w:pPr>
        <w:spacing w:after="0" w:line="240" w:lineRule="auto"/>
      </w:pPr>
      <w:bookmarkStart w:id="0" w:name="_Hlk128402902"/>
      <w:bookmarkEnd w:id="0"/>
      <w:r>
        <w:separator/>
      </w:r>
    </w:p>
  </w:footnote>
  <w:footnote w:type="continuationSeparator" w:id="0">
    <w:p w14:paraId="7AC43498" w14:textId="77777777" w:rsidR="00D477DB" w:rsidRDefault="00D477DB" w:rsidP="00180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03322" w14:textId="7AF7B8AD" w:rsidR="001B55DE" w:rsidRDefault="001B55DE" w:rsidP="001B55DE">
    <w:pPr>
      <w:pStyle w:val="Header"/>
      <w:jc w:val="right"/>
    </w:pPr>
    <w:r>
      <w:rPr>
        <w:noProof/>
      </w:rPr>
      <w:drawing>
        <wp:inline distT="0" distB="0" distL="0" distR="0" wp14:anchorId="24DB6904" wp14:editId="478E18CB">
          <wp:extent cx="2057400" cy="1088136"/>
          <wp:effectExtent l="0" t="0" r="0" b="0"/>
          <wp:docPr id="14" name="Picture 1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revi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1088136"/>
                  </a:xfrm>
                  <a:prstGeom prst="rect">
                    <a:avLst/>
                  </a:prstGeom>
                  <a:noFill/>
                  <a:ln>
                    <a:noFill/>
                  </a:ln>
                </pic:spPr>
              </pic:pic>
            </a:graphicData>
          </a:graphic>
        </wp:inline>
      </w:drawing>
    </w:r>
  </w:p>
  <w:p w14:paraId="14646489" w14:textId="77777777" w:rsidR="001B55DE" w:rsidRDefault="001B5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2A94"/>
    <w:multiLevelType w:val="multilevel"/>
    <w:tmpl w:val="531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24A95"/>
    <w:multiLevelType w:val="hybridMultilevel"/>
    <w:tmpl w:val="E89C67C8"/>
    <w:lvl w:ilvl="0" w:tplc="FA1820A2">
      <w:start w:val="7"/>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DAE2A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7415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5A23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223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AC404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A67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DA17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DCB69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EE320A"/>
    <w:multiLevelType w:val="multilevel"/>
    <w:tmpl w:val="D666ADD8"/>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 w15:restartNumberingAfterBreak="0">
    <w:nsid w:val="4627189F"/>
    <w:multiLevelType w:val="multilevel"/>
    <w:tmpl w:val="9CEE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23D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BA46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807107"/>
    <w:multiLevelType w:val="hybridMultilevel"/>
    <w:tmpl w:val="C8760786"/>
    <w:lvl w:ilvl="0" w:tplc="F01C24D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3C543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5E0B3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5AFD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E4D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C5A0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F292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EE06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8479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774600"/>
    <w:multiLevelType w:val="multilevel"/>
    <w:tmpl w:val="CAE083E4"/>
    <w:lvl w:ilvl="0">
      <w:start w:val="5"/>
      <w:numFmt w:val="decimal"/>
      <w:lvlText w:val="%1"/>
      <w:lvlJc w:val="left"/>
      <w:pPr>
        <w:ind w:left="340" w:hanging="355"/>
      </w:pPr>
      <w:rPr>
        <w:rFonts w:eastAsia="Calibri" w:cs="Calibri" w:hint="default"/>
        <w:b/>
        <w:sz w:val="28"/>
        <w:szCs w:val="28"/>
      </w:rPr>
    </w:lvl>
    <w:lvl w:ilvl="1">
      <w:start w:val="6"/>
      <w:numFmt w:val="decimal"/>
      <w:isLgl/>
      <w:lvlText w:val="%1.%2"/>
      <w:lvlJc w:val="left"/>
      <w:pPr>
        <w:ind w:left="34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425" w:hanging="1440"/>
      </w:pPr>
      <w:rPr>
        <w:rFonts w:hint="default"/>
      </w:rPr>
    </w:lvl>
  </w:abstractNum>
  <w:abstractNum w:abstractNumId="8" w15:restartNumberingAfterBreak="0">
    <w:nsid w:val="72D477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B016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1606683">
    <w:abstractNumId w:val="3"/>
  </w:num>
  <w:num w:numId="2" w16cid:durableId="978680833">
    <w:abstractNumId w:val="0"/>
  </w:num>
  <w:num w:numId="3" w16cid:durableId="1620257737">
    <w:abstractNumId w:val="8"/>
  </w:num>
  <w:num w:numId="4" w16cid:durableId="1982997882">
    <w:abstractNumId w:val="9"/>
  </w:num>
  <w:num w:numId="5" w16cid:durableId="748773400">
    <w:abstractNumId w:val="4"/>
  </w:num>
  <w:num w:numId="6" w16cid:durableId="623731650">
    <w:abstractNumId w:val="5"/>
  </w:num>
  <w:num w:numId="7" w16cid:durableId="1397318861">
    <w:abstractNumId w:val="2"/>
  </w:num>
  <w:num w:numId="8" w16cid:durableId="1710300368">
    <w:abstractNumId w:val="7"/>
  </w:num>
  <w:num w:numId="9" w16cid:durableId="1035231171">
    <w:abstractNumId w:val="6"/>
  </w:num>
  <w:num w:numId="10" w16cid:durableId="101057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6"/>
    <w:rsid w:val="00021487"/>
    <w:rsid w:val="00032FAD"/>
    <w:rsid w:val="000623CB"/>
    <w:rsid w:val="000D4246"/>
    <w:rsid w:val="00103EFA"/>
    <w:rsid w:val="00115F26"/>
    <w:rsid w:val="001235C1"/>
    <w:rsid w:val="00143B1E"/>
    <w:rsid w:val="00150B76"/>
    <w:rsid w:val="00180DB6"/>
    <w:rsid w:val="001A4D7C"/>
    <w:rsid w:val="001B55DE"/>
    <w:rsid w:val="001D3A4C"/>
    <w:rsid w:val="00215131"/>
    <w:rsid w:val="00216684"/>
    <w:rsid w:val="002277B7"/>
    <w:rsid w:val="00247DD0"/>
    <w:rsid w:val="00275FDA"/>
    <w:rsid w:val="0029509E"/>
    <w:rsid w:val="002C2798"/>
    <w:rsid w:val="002C37BC"/>
    <w:rsid w:val="002C64B6"/>
    <w:rsid w:val="002D29D0"/>
    <w:rsid w:val="002F5ED2"/>
    <w:rsid w:val="0036172A"/>
    <w:rsid w:val="00386C8D"/>
    <w:rsid w:val="003C4714"/>
    <w:rsid w:val="00451D46"/>
    <w:rsid w:val="0046526B"/>
    <w:rsid w:val="004C7609"/>
    <w:rsid w:val="004D1EC4"/>
    <w:rsid w:val="004E60CF"/>
    <w:rsid w:val="00503C09"/>
    <w:rsid w:val="0051116F"/>
    <w:rsid w:val="005640B1"/>
    <w:rsid w:val="0058209A"/>
    <w:rsid w:val="005B6268"/>
    <w:rsid w:val="005D7EB1"/>
    <w:rsid w:val="00605998"/>
    <w:rsid w:val="0062028A"/>
    <w:rsid w:val="00631348"/>
    <w:rsid w:val="006731F8"/>
    <w:rsid w:val="00675B67"/>
    <w:rsid w:val="00687170"/>
    <w:rsid w:val="006C621C"/>
    <w:rsid w:val="006E35AF"/>
    <w:rsid w:val="00780640"/>
    <w:rsid w:val="00796292"/>
    <w:rsid w:val="007C00C5"/>
    <w:rsid w:val="007D20A1"/>
    <w:rsid w:val="007F56A8"/>
    <w:rsid w:val="007F7163"/>
    <w:rsid w:val="00806E74"/>
    <w:rsid w:val="008313EB"/>
    <w:rsid w:val="0084213F"/>
    <w:rsid w:val="008606B6"/>
    <w:rsid w:val="008B1634"/>
    <w:rsid w:val="008B43D7"/>
    <w:rsid w:val="008D4515"/>
    <w:rsid w:val="008D50F6"/>
    <w:rsid w:val="008F1834"/>
    <w:rsid w:val="008F4846"/>
    <w:rsid w:val="00925118"/>
    <w:rsid w:val="0092582D"/>
    <w:rsid w:val="00952467"/>
    <w:rsid w:val="0095380C"/>
    <w:rsid w:val="0095524F"/>
    <w:rsid w:val="00956267"/>
    <w:rsid w:val="00971260"/>
    <w:rsid w:val="0099241E"/>
    <w:rsid w:val="009A2784"/>
    <w:rsid w:val="00A03C23"/>
    <w:rsid w:val="00A170D5"/>
    <w:rsid w:val="00A23A51"/>
    <w:rsid w:val="00A309F1"/>
    <w:rsid w:val="00A45984"/>
    <w:rsid w:val="00A5147C"/>
    <w:rsid w:val="00AA4EFD"/>
    <w:rsid w:val="00B077A2"/>
    <w:rsid w:val="00B44839"/>
    <w:rsid w:val="00B6615C"/>
    <w:rsid w:val="00B837EC"/>
    <w:rsid w:val="00BC5915"/>
    <w:rsid w:val="00BD7D6D"/>
    <w:rsid w:val="00BF404A"/>
    <w:rsid w:val="00C76E69"/>
    <w:rsid w:val="00CB5EEF"/>
    <w:rsid w:val="00CC58B4"/>
    <w:rsid w:val="00D03B77"/>
    <w:rsid w:val="00D17832"/>
    <w:rsid w:val="00D419A8"/>
    <w:rsid w:val="00D477DB"/>
    <w:rsid w:val="00D5105C"/>
    <w:rsid w:val="00D62DCB"/>
    <w:rsid w:val="00D63F45"/>
    <w:rsid w:val="00DF604E"/>
    <w:rsid w:val="00E427CC"/>
    <w:rsid w:val="00E746BB"/>
    <w:rsid w:val="00E81215"/>
    <w:rsid w:val="00E93015"/>
    <w:rsid w:val="00EB0EC4"/>
    <w:rsid w:val="00EB3CC1"/>
    <w:rsid w:val="00F16FD0"/>
    <w:rsid w:val="00F43265"/>
    <w:rsid w:val="00F6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BEEE"/>
  <w15:chartTrackingRefBased/>
  <w15:docId w15:val="{47F98D13-10BC-4CFF-855C-DDF62307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F8"/>
  </w:style>
  <w:style w:type="paragraph" w:styleId="Heading1">
    <w:name w:val="heading 1"/>
    <w:basedOn w:val="Normal"/>
    <w:next w:val="Normal"/>
    <w:link w:val="Heading1Char"/>
    <w:uiPriority w:val="9"/>
    <w:qFormat/>
    <w:rsid w:val="002C37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78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50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A4E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A4E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DB6"/>
  </w:style>
  <w:style w:type="paragraph" w:styleId="Footer">
    <w:name w:val="footer"/>
    <w:basedOn w:val="Normal"/>
    <w:link w:val="FooterChar"/>
    <w:uiPriority w:val="99"/>
    <w:unhideWhenUsed/>
    <w:rsid w:val="00180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DB6"/>
  </w:style>
  <w:style w:type="character" w:styleId="Hyperlink">
    <w:name w:val="Hyperlink"/>
    <w:basedOn w:val="DefaultParagraphFont"/>
    <w:uiPriority w:val="99"/>
    <w:unhideWhenUsed/>
    <w:rsid w:val="00180DB6"/>
    <w:rPr>
      <w:color w:val="0563C1" w:themeColor="hyperlink"/>
      <w:u w:val="single"/>
    </w:rPr>
  </w:style>
  <w:style w:type="character" w:styleId="UnresolvedMention">
    <w:name w:val="Unresolved Mention"/>
    <w:basedOn w:val="DefaultParagraphFont"/>
    <w:uiPriority w:val="99"/>
    <w:semiHidden/>
    <w:unhideWhenUsed/>
    <w:rsid w:val="00180DB6"/>
    <w:rPr>
      <w:color w:val="605E5C"/>
      <w:shd w:val="clear" w:color="auto" w:fill="E1DFDD"/>
    </w:rPr>
  </w:style>
  <w:style w:type="character" w:customStyle="1" w:styleId="Heading1Char">
    <w:name w:val="Heading 1 Char"/>
    <w:basedOn w:val="DefaultParagraphFont"/>
    <w:link w:val="Heading1"/>
    <w:uiPriority w:val="9"/>
    <w:rsid w:val="002C37B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C37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B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077A2"/>
    <w:pPr>
      <w:ind w:left="720"/>
      <w:contextualSpacing/>
    </w:pPr>
  </w:style>
  <w:style w:type="table" w:styleId="TableGrid">
    <w:name w:val="Table Grid"/>
    <w:basedOn w:val="TableNormal"/>
    <w:uiPriority w:val="39"/>
    <w:rsid w:val="00B07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178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50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A4EF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A4EFD"/>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CC58B4"/>
  </w:style>
  <w:style w:type="character" w:customStyle="1" w:styleId="eop">
    <w:name w:val="eop"/>
    <w:basedOn w:val="DefaultParagraphFont"/>
    <w:rsid w:val="00CC58B4"/>
  </w:style>
  <w:style w:type="paragraph" w:styleId="NoSpacing">
    <w:name w:val="No Spacing"/>
    <w:uiPriority w:val="1"/>
    <w:qFormat/>
    <w:rsid w:val="00780640"/>
    <w:pPr>
      <w:spacing w:after="0" w:line="240" w:lineRule="auto"/>
    </w:pPr>
  </w:style>
  <w:style w:type="paragraph" w:styleId="Revision">
    <w:name w:val="Revision"/>
    <w:hidden/>
    <w:uiPriority w:val="99"/>
    <w:semiHidden/>
    <w:rsid w:val="00D63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124301">
      <w:bodyDiv w:val="1"/>
      <w:marLeft w:val="0"/>
      <w:marRight w:val="0"/>
      <w:marTop w:val="0"/>
      <w:marBottom w:val="0"/>
      <w:divBdr>
        <w:top w:val="none" w:sz="0" w:space="0" w:color="auto"/>
        <w:left w:val="none" w:sz="0" w:space="0" w:color="auto"/>
        <w:bottom w:val="none" w:sz="0" w:space="0" w:color="auto"/>
        <w:right w:val="none" w:sz="0" w:space="0" w:color="auto"/>
      </w:divBdr>
      <w:divsChild>
        <w:div w:id="201408082">
          <w:marLeft w:val="0"/>
          <w:marRight w:val="0"/>
          <w:marTop w:val="0"/>
          <w:marBottom w:val="0"/>
          <w:divBdr>
            <w:top w:val="none" w:sz="0" w:space="0" w:color="auto"/>
            <w:left w:val="none" w:sz="0" w:space="0" w:color="auto"/>
            <w:bottom w:val="none" w:sz="0" w:space="0" w:color="auto"/>
            <w:right w:val="none" w:sz="0" w:space="0" w:color="auto"/>
          </w:divBdr>
        </w:div>
        <w:div w:id="1786776953">
          <w:marLeft w:val="0"/>
          <w:marRight w:val="0"/>
          <w:marTop w:val="0"/>
          <w:marBottom w:val="0"/>
          <w:divBdr>
            <w:top w:val="none" w:sz="0" w:space="0" w:color="auto"/>
            <w:left w:val="none" w:sz="0" w:space="0" w:color="auto"/>
            <w:bottom w:val="none" w:sz="0" w:space="0" w:color="auto"/>
            <w:right w:val="none" w:sz="0" w:space="0" w:color="auto"/>
          </w:divBdr>
        </w:div>
        <w:div w:id="1856578703">
          <w:marLeft w:val="0"/>
          <w:marRight w:val="0"/>
          <w:marTop w:val="0"/>
          <w:marBottom w:val="0"/>
          <w:divBdr>
            <w:top w:val="none" w:sz="0" w:space="0" w:color="auto"/>
            <w:left w:val="none" w:sz="0" w:space="0" w:color="auto"/>
            <w:bottom w:val="none" w:sz="0" w:space="0" w:color="auto"/>
            <w:right w:val="none" w:sz="0" w:space="0" w:color="auto"/>
          </w:divBdr>
        </w:div>
      </w:divsChild>
    </w:div>
    <w:div w:id="1181702145">
      <w:bodyDiv w:val="1"/>
      <w:marLeft w:val="0"/>
      <w:marRight w:val="0"/>
      <w:marTop w:val="0"/>
      <w:marBottom w:val="0"/>
      <w:divBdr>
        <w:top w:val="none" w:sz="0" w:space="0" w:color="auto"/>
        <w:left w:val="none" w:sz="0" w:space="0" w:color="auto"/>
        <w:bottom w:val="none" w:sz="0" w:space="0" w:color="auto"/>
        <w:right w:val="none" w:sz="0" w:space="0" w:color="auto"/>
      </w:divBdr>
    </w:div>
    <w:div w:id="180468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access@nhs.net" TargetMode="External"/><Relationship Id="rId2" Type="http://schemas.openxmlformats.org/officeDocument/2006/relationships/hyperlink" Target="http://www.bedoc.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B2E7E-2A99-4FA3-AFD6-DA7478AB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MABBOTT, Sandra (PC EXT ACCESS BEDOC)</dc:creator>
  <cp:keywords/>
  <dc:description/>
  <cp:lastModifiedBy>Sandra Mabbott</cp:lastModifiedBy>
  <cp:revision>5</cp:revision>
  <dcterms:created xsi:type="dcterms:W3CDTF">2024-10-17T16:43:00Z</dcterms:created>
  <dcterms:modified xsi:type="dcterms:W3CDTF">2024-10-17T17:01:00Z</dcterms:modified>
</cp:coreProperties>
</file>